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AD7D4" w14:textId="77777777" w:rsidR="00D91FA9" w:rsidRDefault="00BD67A7" w:rsidP="00D91FA9">
      <w:pPr>
        <w:pStyle w:val="lfej"/>
        <w:pBdr>
          <w:bottom w:val="single" w:sz="4" w:space="3" w:color="000000"/>
        </w:pBdr>
        <w:tabs>
          <w:tab w:val="left" w:pos="708"/>
        </w:tabs>
        <w:jc w:val="center"/>
        <w:rPr>
          <w:b/>
          <w:bCs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52C821EB" wp14:editId="2CA4E669">
            <wp:simplePos x="0" y="0"/>
            <wp:positionH relativeFrom="column">
              <wp:posOffset>5205730</wp:posOffset>
            </wp:positionH>
            <wp:positionV relativeFrom="paragraph">
              <wp:posOffset>-171450</wp:posOffset>
            </wp:positionV>
            <wp:extent cx="516255" cy="936625"/>
            <wp:effectExtent l="1905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936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7EAF46D8" wp14:editId="253DC09C">
            <wp:simplePos x="0" y="0"/>
            <wp:positionH relativeFrom="column">
              <wp:posOffset>-66675</wp:posOffset>
            </wp:positionH>
            <wp:positionV relativeFrom="paragraph">
              <wp:posOffset>-186690</wp:posOffset>
            </wp:positionV>
            <wp:extent cx="872490" cy="941705"/>
            <wp:effectExtent l="19050" t="0" r="381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941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91FA9">
        <w:rPr>
          <w:b/>
          <w:bCs/>
          <w:sz w:val="32"/>
          <w:szCs w:val="32"/>
        </w:rPr>
        <w:t>Ács Város Roma Nemzetiségi Önkormányzat</w:t>
      </w:r>
    </w:p>
    <w:p w14:paraId="2946B67C" w14:textId="77777777" w:rsidR="00D91FA9" w:rsidRDefault="00D91FA9" w:rsidP="00D91FA9">
      <w:pPr>
        <w:pStyle w:val="lfej"/>
        <w:pBdr>
          <w:bottom w:val="single" w:sz="4" w:space="3" w:color="000000"/>
        </w:pBdr>
        <w:tabs>
          <w:tab w:val="left" w:pos="708"/>
        </w:tabs>
        <w:jc w:val="center"/>
      </w:pPr>
      <w:r>
        <w:t>2941 Ács, Gyár u. 23. Pf. 8</w:t>
      </w:r>
    </w:p>
    <w:p w14:paraId="18D37E0E" w14:textId="77777777" w:rsidR="00D91FA9" w:rsidRDefault="00D91FA9" w:rsidP="00D91FA9">
      <w:pPr>
        <w:pStyle w:val="lfej"/>
        <w:pBdr>
          <w:bottom w:val="single" w:sz="4" w:space="3" w:color="000000"/>
        </w:pBdr>
        <w:tabs>
          <w:tab w:val="left" w:pos="708"/>
        </w:tabs>
        <w:jc w:val="center"/>
      </w:pPr>
      <w:r>
        <w:t>Telefon: 34/385-121</w:t>
      </w:r>
      <w:proofErr w:type="gramStart"/>
      <w:r>
        <w:t xml:space="preserve">,  </w:t>
      </w:r>
      <w:r>
        <w:tab/>
        <w:t>Fax</w:t>
      </w:r>
      <w:proofErr w:type="gramEnd"/>
      <w:r>
        <w:t>: 34/385-042</w:t>
      </w:r>
    </w:p>
    <w:p w14:paraId="04978BBF" w14:textId="77777777" w:rsidR="00D91FA9" w:rsidRDefault="00D91FA9" w:rsidP="00D91FA9">
      <w:pPr>
        <w:pStyle w:val="lfej"/>
        <w:pBdr>
          <w:bottom w:val="single" w:sz="4" w:space="3" w:color="000000"/>
        </w:pBdr>
        <w:tabs>
          <w:tab w:val="left" w:pos="708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Internet: </w:t>
      </w:r>
      <w:hyperlink r:id="rId7" w:history="1">
        <w:r>
          <w:rPr>
            <w:rStyle w:val="Hiperhivatkozs"/>
          </w:rPr>
          <w:t>www.acsvaros.hu</w:t>
        </w:r>
      </w:hyperlink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</w:p>
    <w:p w14:paraId="4E734BE3" w14:textId="77777777" w:rsidR="00D91FA9" w:rsidRDefault="00D91FA9" w:rsidP="00D91FA9">
      <w:pPr>
        <w:jc w:val="center"/>
        <w:rPr>
          <w:b/>
          <w:bCs/>
          <w:sz w:val="28"/>
          <w:szCs w:val="28"/>
          <w:u w:val="single"/>
        </w:rPr>
      </w:pPr>
    </w:p>
    <w:p w14:paraId="383315F6" w14:textId="77777777" w:rsidR="00D91FA9" w:rsidRDefault="00D91FA9" w:rsidP="00D91FA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 l ő t e r j e s z t é s</w:t>
      </w:r>
    </w:p>
    <w:p w14:paraId="1ADE57AF" w14:textId="77777777" w:rsidR="00D91FA9" w:rsidRDefault="00D91FA9" w:rsidP="00D91FA9">
      <w:pPr>
        <w:jc w:val="center"/>
        <w:rPr>
          <w:b/>
          <w:bCs/>
          <w:sz w:val="28"/>
          <w:szCs w:val="28"/>
          <w:u w:val="single"/>
        </w:rPr>
      </w:pPr>
    </w:p>
    <w:p w14:paraId="5ED69BD4" w14:textId="36BCAC0E" w:rsidR="00D91FA9" w:rsidRPr="00A81165" w:rsidRDefault="00D91FA9" w:rsidP="00D91FA9">
      <w:pPr>
        <w:jc w:val="center"/>
        <w:rPr>
          <w:b/>
          <w:bCs/>
        </w:rPr>
      </w:pPr>
      <w:r w:rsidRPr="00A81165">
        <w:rPr>
          <w:b/>
          <w:bCs/>
        </w:rPr>
        <w:t>Ács Város Roma Nemzetiségi Önkormányzat Képviselő-testületének 20</w:t>
      </w:r>
      <w:r w:rsidR="00A81165" w:rsidRPr="00A81165">
        <w:rPr>
          <w:b/>
          <w:bCs/>
        </w:rPr>
        <w:t>20</w:t>
      </w:r>
      <w:r w:rsidRPr="00A81165">
        <w:rPr>
          <w:b/>
          <w:bCs/>
        </w:rPr>
        <w:t xml:space="preserve">. </w:t>
      </w:r>
      <w:r w:rsidR="00A81165" w:rsidRPr="00A81165">
        <w:rPr>
          <w:b/>
          <w:bCs/>
        </w:rPr>
        <w:t>április 19.-</w:t>
      </w:r>
      <w:r w:rsidR="009048A3" w:rsidRPr="00A81165">
        <w:rPr>
          <w:b/>
          <w:bCs/>
        </w:rPr>
        <w:t>é</w:t>
      </w:r>
      <w:r w:rsidRPr="00A81165">
        <w:rPr>
          <w:b/>
          <w:bCs/>
        </w:rPr>
        <w:t>n tartandó ülésére</w:t>
      </w:r>
    </w:p>
    <w:p w14:paraId="6A250A40" w14:textId="77777777" w:rsidR="00D91FA9" w:rsidRPr="00A81165" w:rsidRDefault="00D91FA9" w:rsidP="00D91FA9">
      <w:pPr>
        <w:jc w:val="center"/>
        <w:rPr>
          <w:b/>
          <w:bCs/>
        </w:rPr>
      </w:pPr>
    </w:p>
    <w:p w14:paraId="2A072B38" w14:textId="533A54E6" w:rsidR="00D91FA9" w:rsidRPr="00A81165" w:rsidRDefault="00D91FA9" w:rsidP="00D91FA9">
      <w:pPr>
        <w:ind w:left="765" w:hanging="795"/>
        <w:rPr>
          <w:b/>
          <w:bCs/>
        </w:rPr>
      </w:pPr>
      <w:r w:rsidRPr="00A81165">
        <w:rPr>
          <w:b/>
          <w:bCs/>
          <w:u w:val="single"/>
        </w:rPr>
        <w:t>Tárgy</w:t>
      </w:r>
      <w:r w:rsidRPr="00A81165">
        <w:rPr>
          <w:b/>
          <w:bCs/>
        </w:rPr>
        <w:t>:</w:t>
      </w:r>
      <w:r w:rsidRPr="00A81165">
        <w:t xml:space="preserve"> </w:t>
      </w:r>
      <w:r w:rsidRPr="00A81165">
        <w:rPr>
          <w:b/>
          <w:bCs/>
        </w:rPr>
        <w:t>20</w:t>
      </w:r>
      <w:r w:rsidR="00A81165" w:rsidRPr="00A81165">
        <w:rPr>
          <w:b/>
          <w:bCs/>
        </w:rPr>
        <w:t>20</w:t>
      </w:r>
      <w:r w:rsidRPr="00A81165">
        <w:rPr>
          <w:b/>
          <w:bCs/>
        </w:rPr>
        <w:t>. évi beszámoló a gazdálkodásról, - zárszámadás -</w:t>
      </w:r>
    </w:p>
    <w:p w14:paraId="7011C162" w14:textId="77777777" w:rsidR="00D91FA9" w:rsidRPr="00A81165" w:rsidRDefault="00D91FA9" w:rsidP="00D91FA9">
      <w:pPr>
        <w:ind w:left="765" w:hanging="795"/>
      </w:pPr>
      <w:r w:rsidRPr="00A81165">
        <w:rPr>
          <w:u w:val="single"/>
        </w:rPr>
        <w:t xml:space="preserve">Előterjesztő: </w:t>
      </w:r>
      <w:r w:rsidRPr="00A81165">
        <w:t>Markó Renáta roma nemzetiségi önkormányzat elnöke</w:t>
      </w:r>
    </w:p>
    <w:p w14:paraId="7434B5B9" w14:textId="34110C05" w:rsidR="00D91FA9" w:rsidRPr="00A81165" w:rsidRDefault="00D91FA9" w:rsidP="00D91FA9">
      <w:pPr>
        <w:ind w:left="765" w:hanging="795"/>
        <w:rPr>
          <w:sz w:val="16"/>
          <w:szCs w:val="16"/>
        </w:rPr>
      </w:pPr>
      <w:r w:rsidRPr="00A81165">
        <w:rPr>
          <w:sz w:val="16"/>
          <w:szCs w:val="16"/>
          <w:u w:val="single"/>
        </w:rPr>
        <w:t>Előterjesztést készítette</w:t>
      </w:r>
      <w:r w:rsidRPr="00A81165">
        <w:rPr>
          <w:sz w:val="16"/>
          <w:szCs w:val="16"/>
        </w:rPr>
        <w:t xml:space="preserve">:  </w:t>
      </w:r>
      <w:proofErr w:type="spellStart"/>
      <w:r w:rsidRPr="00A81165">
        <w:rPr>
          <w:sz w:val="16"/>
          <w:szCs w:val="16"/>
        </w:rPr>
        <w:t>Pokné</w:t>
      </w:r>
      <w:proofErr w:type="spellEnd"/>
      <w:r w:rsidR="00EC4EF9">
        <w:rPr>
          <w:sz w:val="16"/>
          <w:szCs w:val="16"/>
        </w:rPr>
        <w:t xml:space="preserve"> </w:t>
      </w:r>
      <w:proofErr w:type="spellStart"/>
      <w:r w:rsidR="00EC4EF9">
        <w:rPr>
          <w:sz w:val="16"/>
          <w:szCs w:val="16"/>
        </w:rPr>
        <w:t>Meizl</w:t>
      </w:r>
      <w:proofErr w:type="spellEnd"/>
      <w:r w:rsidR="00EC4EF9">
        <w:rPr>
          <w:sz w:val="16"/>
          <w:szCs w:val="16"/>
        </w:rPr>
        <w:t xml:space="preserve"> Anna</w:t>
      </w:r>
      <w:bookmarkStart w:id="0" w:name="_GoBack"/>
      <w:bookmarkEnd w:id="0"/>
    </w:p>
    <w:p w14:paraId="252C746B" w14:textId="77777777" w:rsidR="00D91FA9" w:rsidRPr="00A81165" w:rsidRDefault="00D91FA9" w:rsidP="00D91FA9">
      <w:pPr>
        <w:ind w:left="765" w:hanging="795"/>
        <w:rPr>
          <w:sz w:val="16"/>
          <w:szCs w:val="16"/>
        </w:rPr>
      </w:pPr>
    </w:p>
    <w:p w14:paraId="357AEA3D" w14:textId="77777777" w:rsidR="00D91FA9" w:rsidRPr="00A81165" w:rsidRDefault="00D91FA9" w:rsidP="00D91FA9">
      <w:pPr>
        <w:ind w:left="765" w:hanging="795"/>
        <w:rPr>
          <w:sz w:val="16"/>
          <w:szCs w:val="16"/>
        </w:rPr>
      </w:pPr>
    </w:p>
    <w:p w14:paraId="4778F6EF" w14:textId="77777777" w:rsidR="00D91FA9" w:rsidRPr="00A81165" w:rsidRDefault="00D91FA9" w:rsidP="00D91FA9">
      <w:pPr>
        <w:ind w:left="765" w:hanging="795"/>
        <w:rPr>
          <w:b/>
          <w:bCs/>
        </w:rPr>
      </w:pPr>
      <w:r w:rsidRPr="00A81165">
        <w:rPr>
          <w:b/>
          <w:bCs/>
        </w:rPr>
        <w:t>Tisztelt Képviselő –testület!</w:t>
      </w:r>
    </w:p>
    <w:p w14:paraId="06A60153" w14:textId="77777777" w:rsidR="00ED0A6D" w:rsidRPr="004D6ECC" w:rsidRDefault="00ED0A6D" w:rsidP="00D91FA9">
      <w:pPr>
        <w:ind w:left="765" w:hanging="795"/>
        <w:rPr>
          <w:b/>
          <w:bCs/>
          <w:color w:val="FF0000"/>
        </w:rPr>
      </w:pPr>
    </w:p>
    <w:p w14:paraId="0717830E" w14:textId="690880F2" w:rsidR="00230446" w:rsidRPr="000A09B6" w:rsidRDefault="00ED0A6D" w:rsidP="00A92613">
      <w:pPr>
        <w:ind w:hanging="30"/>
        <w:jc w:val="both"/>
        <w:rPr>
          <w:kern w:val="0"/>
          <w:lang w:eastAsia="hu-HU"/>
        </w:rPr>
      </w:pPr>
      <w:r w:rsidRPr="000A09B6">
        <w:rPr>
          <w:bCs/>
          <w:kern w:val="0"/>
          <w:lang w:eastAsia="hu-HU"/>
        </w:rPr>
        <w:t xml:space="preserve">A </w:t>
      </w:r>
      <w:r w:rsidR="00A92613" w:rsidRPr="000A09B6">
        <w:rPr>
          <w:bCs/>
          <w:kern w:val="0"/>
          <w:lang w:eastAsia="hu-HU"/>
        </w:rPr>
        <w:t xml:space="preserve">2020. évet a </w:t>
      </w:r>
      <w:r w:rsidRPr="000A09B6">
        <w:rPr>
          <w:bCs/>
          <w:kern w:val="0"/>
          <w:lang w:eastAsia="hu-HU"/>
        </w:rPr>
        <w:t>vészhelyzet</w:t>
      </w:r>
      <w:r w:rsidR="00A92613" w:rsidRPr="000A09B6">
        <w:rPr>
          <w:bCs/>
          <w:kern w:val="0"/>
          <w:lang w:eastAsia="hu-HU"/>
        </w:rPr>
        <w:t>i működés jellemezte, ez a kiadásokon jól látható.</w:t>
      </w:r>
      <w:r w:rsidRPr="000A09B6">
        <w:rPr>
          <w:bCs/>
          <w:kern w:val="0"/>
          <w:lang w:eastAsia="hu-HU"/>
        </w:rPr>
        <w:t xml:space="preserve"> </w:t>
      </w:r>
    </w:p>
    <w:p w14:paraId="2C0B5554" w14:textId="77777777" w:rsidR="00A30F51" w:rsidRPr="000A09B6" w:rsidRDefault="00230446" w:rsidP="00ED0A6D">
      <w:pPr>
        <w:pStyle w:val="Cmsor1"/>
        <w:jc w:val="both"/>
        <w:rPr>
          <w:b w:val="0"/>
          <w:bCs w:val="0"/>
          <w:kern w:val="2"/>
          <w:sz w:val="24"/>
          <w:szCs w:val="24"/>
          <w:lang w:eastAsia="ar-SA"/>
        </w:rPr>
      </w:pPr>
      <w:r w:rsidRPr="000A09B6">
        <w:rPr>
          <w:b w:val="0"/>
          <w:bCs w:val="0"/>
          <w:kern w:val="0"/>
          <w:sz w:val="24"/>
          <w:szCs w:val="24"/>
        </w:rPr>
        <w:t>A</w:t>
      </w:r>
      <w:r w:rsidR="00A30F51" w:rsidRPr="000A09B6">
        <w:rPr>
          <w:b w:val="0"/>
          <w:bCs w:val="0"/>
          <w:kern w:val="0"/>
          <w:sz w:val="24"/>
          <w:szCs w:val="24"/>
        </w:rPr>
        <w:t>z államháztartásról</w:t>
      </w:r>
      <w:hyperlink r:id="rId8" w:anchor="lbj0id5b54" w:history="1"/>
      <w:r w:rsidR="00A30F51" w:rsidRPr="000A09B6">
        <w:rPr>
          <w:b w:val="0"/>
          <w:bCs w:val="0"/>
          <w:kern w:val="0"/>
          <w:sz w:val="24"/>
          <w:szCs w:val="24"/>
        </w:rPr>
        <w:t xml:space="preserve"> szóló 2011. évi CXCV. törvény 91.§-a rendelkezik a nemzetiségi</w:t>
      </w:r>
      <w:r w:rsidR="00A30F51" w:rsidRPr="000A09B6">
        <w:rPr>
          <w:b w:val="0"/>
          <w:bCs w:val="0"/>
          <w:kern w:val="2"/>
          <w:sz w:val="24"/>
          <w:szCs w:val="24"/>
          <w:lang w:eastAsia="ar-SA"/>
        </w:rPr>
        <w:t xml:space="preserve"> önkormányzat zárszámadásáról:</w:t>
      </w:r>
    </w:p>
    <w:p w14:paraId="49D5358E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b/>
          <w:bCs/>
          <w:kern w:val="0"/>
          <w:lang w:eastAsia="hu-HU"/>
        </w:rPr>
        <w:t xml:space="preserve">91. § </w:t>
      </w:r>
      <w:r w:rsidRPr="000A09B6">
        <w:rPr>
          <w:kern w:val="0"/>
          <w:lang w:eastAsia="hu-HU"/>
        </w:rPr>
        <w:t>(1)</w:t>
      </w:r>
      <w:hyperlink r:id="rId9" w:anchor="lbj450id9348" w:history="1">
        <w:r w:rsidRPr="000A09B6">
          <w:rPr>
            <w:kern w:val="0"/>
            <w:u w:val="single"/>
            <w:vertAlign w:val="superscript"/>
            <w:lang w:eastAsia="hu-HU"/>
          </w:rPr>
          <w:t> * </w:t>
        </w:r>
      </w:hyperlink>
      <w:r w:rsidRPr="000A09B6">
        <w:rPr>
          <w:kern w:val="0"/>
          <w:lang w:eastAsia="hu-HU"/>
        </w:rPr>
        <w:t xml:space="preserve"> 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 A zárszámadási rendelet tervezetével együtt a képviselő-testület részére tájékoztatásul be kell nyújtani a kincstár 68/B. § szerinti ellenőrzése keretében a helyi önkormányzat éves költségvetési beszámolójával kapcsolatosan elkészített jelentését.</w:t>
      </w:r>
    </w:p>
    <w:p w14:paraId="137471B7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kern w:val="0"/>
          <w:lang w:eastAsia="hu-HU"/>
        </w:rPr>
        <w:t>(2) A zárszámadási rendelettervezet előterjesztésekor a képviselő-testület részére tájékoztatásul a következő mérlegeket és kimutatásokat kell bemutatni:</w:t>
      </w:r>
    </w:p>
    <w:p w14:paraId="753B26E2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a) </w:t>
      </w:r>
      <w:r w:rsidRPr="000A09B6">
        <w:rPr>
          <w:kern w:val="0"/>
          <w:lang w:eastAsia="hu-HU"/>
        </w:rPr>
        <w:t>a 24. § (4) bekezdése szerinti mérlegeket, kimutatásokat azzal, hogy az előirányzat felhasználási terven a pénzeszközök változásának bemutatását kell érteni,</w:t>
      </w:r>
    </w:p>
    <w:p w14:paraId="794FAF26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>b)</w:t>
      </w:r>
      <w:hyperlink r:id="rId10" w:anchor="lbj451id9348" w:history="1">
        <w:r w:rsidRPr="000A09B6">
          <w:rPr>
            <w:i/>
            <w:iCs/>
            <w:kern w:val="0"/>
            <w:u w:val="single"/>
            <w:vertAlign w:val="superscript"/>
            <w:lang w:eastAsia="hu-HU"/>
          </w:rPr>
          <w:t> * </w:t>
        </w:r>
      </w:hyperlink>
      <w:r w:rsidRPr="000A09B6">
        <w:rPr>
          <w:i/>
          <w:iCs/>
          <w:kern w:val="0"/>
          <w:lang w:eastAsia="hu-HU"/>
        </w:rPr>
        <w:t xml:space="preserve"> </w:t>
      </w:r>
      <w:r w:rsidRPr="000A09B6">
        <w:rPr>
          <w:kern w:val="0"/>
          <w:lang w:eastAsia="hu-HU"/>
        </w:rPr>
        <w:t xml:space="preserve">a helyi önkormányzat adósságának állományát lejárat, a </w:t>
      </w:r>
      <w:proofErr w:type="spellStart"/>
      <w:r w:rsidRPr="000A09B6">
        <w:rPr>
          <w:kern w:val="0"/>
          <w:lang w:eastAsia="hu-HU"/>
        </w:rPr>
        <w:t>Gst</w:t>
      </w:r>
      <w:proofErr w:type="spellEnd"/>
      <w:r w:rsidRPr="000A09B6">
        <w:rPr>
          <w:kern w:val="0"/>
          <w:lang w:eastAsia="hu-HU"/>
        </w:rPr>
        <w:t>. 3. §-a szerinti adósságot keletkeztető ügyletek, bel- és külföldi irányú kötelezettségek szerinti bontásban,</w:t>
      </w:r>
    </w:p>
    <w:p w14:paraId="00FF392C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c) </w:t>
      </w:r>
      <w:r w:rsidRPr="000A09B6">
        <w:rPr>
          <w:kern w:val="0"/>
          <w:lang w:eastAsia="hu-HU"/>
        </w:rPr>
        <w:t>a vagyonkimutatást, és</w:t>
      </w:r>
    </w:p>
    <w:p w14:paraId="5A4103E8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d) </w:t>
      </w:r>
      <w:r w:rsidRPr="000A09B6">
        <w:rPr>
          <w:kern w:val="0"/>
          <w:lang w:eastAsia="hu-HU"/>
        </w:rPr>
        <w:t>a helyi önkormányzat tulajdonában álló gazdálkodó szervezetek működéséből származó kötelezettségeket, a részesedések alakulását.</w:t>
      </w:r>
    </w:p>
    <w:p w14:paraId="0B3FBA98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b/>
          <w:kern w:val="0"/>
          <w:lang w:eastAsia="hu-HU"/>
        </w:rPr>
      </w:pPr>
      <w:r w:rsidRPr="000A09B6">
        <w:rPr>
          <w:b/>
          <w:kern w:val="0"/>
          <w:lang w:eastAsia="hu-HU"/>
        </w:rPr>
        <w:t>(3)</w:t>
      </w:r>
      <w:hyperlink r:id="rId11" w:anchor="lbj452id9348" w:history="1">
        <w:r w:rsidRPr="000A09B6">
          <w:rPr>
            <w:b/>
            <w:kern w:val="0"/>
            <w:u w:val="single"/>
            <w:vertAlign w:val="superscript"/>
            <w:lang w:eastAsia="hu-HU"/>
          </w:rPr>
          <w:t> * </w:t>
        </w:r>
      </w:hyperlink>
      <w:r w:rsidRPr="000A09B6">
        <w:rPr>
          <w:b/>
          <w:kern w:val="0"/>
          <w:lang w:eastAsia="hu-HU"/>
        </w:rPr>
        <w:t xml:space="preserve"> A nemzetiségi önkormányzat és a társulás zárszámadásának megalkotására az (1) és (2) bekezdést kell alkalmazni a 26. § (1) bekezdésében meghatározott eltérésekkel.</w:t>
      </w:r>
    </w:p>
    <w:p w14:paraId="26E619F5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kern w:val="0"/>
          <w:lang w:eastAsia="hu-HU"/>
        </w:rPr>
        <w:t xml:space="preserve">(4) A térségi fejlesztési tanács zárszámadásának megalkotására az (1) és (2) bekezdés rendelkezéseit kell alkalmazni, azzal, hogy zárszámadási rendeleten zárszámadási határozatot kell érteni, a képviselő-testület hatáskörét a térségi fejlesztési tanács tagjai gyakorolják, a </w:t>
      </w:r>
      <w:r w:rsidRPr="000A09B6">
        <w:rPr>
          <w:kern w:val="0"/>
          <w:lang w:eastAsia="hu-HU"/>
        </w:rPr>
        <w:lastRenderedPageBreak/>
        <w:t>polgármester részére meghatározott feladatokat a térségi fejlesztési tanács elnöke, a jegyző részére meghatározott feladatokat a térségi fejlesztési tanács munkaszervezetének vezetője látja el.</w:t>
      </w:r>
    </w:p>
    <w:p w14:paraId="647EA371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b/>
          <w:bCs/>
          <w:kern w:val="0"/>
          <w:lang w:eastAsia="hu-HU"/>
        </w:rPr>
        <w:t xml:space="preserve">26. § </w:t>
      </w:r>
      <w:r w:rsidRPr="000A09B6">
        <w:rPr>
          <w:kern w:val="0"/>
          <w:lang w:eastAsia="hu-HU"/>
        </w:rPr>
        <w:t>(1)</w:t>
      </w:r>
      <w:hyperlink r:id="rId12" w:anchor="lbj165id9348" w:history="1">
        <w:r w:rsidRPr="000A09B6">
          <w:rPr>
            <w:kern w:val="0"/>
            <w:u w:val="single"/>
            <w:vertAlign w:val="superscript"/>
            <w:lang w:eastAsia="hu-HU"/>
          </w:rPr>
          <w:t> * </w:t>
        </w:r>
      </w:hyperlink>
      <w:r w:rsidRPr="000A09B6">
        <w:rPr>
          <w:kern w:val="0"/>
          <w:lang w:eastAsia="hu-HU"/>
        </w:rPr>
        <w:t xml:space="preserve"> A nemzetiségi önkormányzatra, a társulásra és az általuk irányított költségvetési szervekre a 23-25. § rendelkezéseit kell alkalmazni, azzal, hogy</w:t>
      </w:r>
    </w:p>
    <w:p w14:paraId="69512547" w14:textId="77777777" w:rsidR="00B80F20" w:rsidRPr="000A09B6" w:rsidRDefault="00C5490B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a) </w:t>
      </w:r>
      <w:r w:rsidRPr="000A09B6">
        <w:rPr>
          <w:kern w:val="0"/>
          <w:lang w:eastAsia="hu-HU"/>
        </w:rPr>
        <w:t>költségvetési rendeleten költségvetési határozatot kell érteni,</w:t>
      </w:r>
    </w:p>
    <w:p w14:paraId="690FFEF7" w14:textId="77777777" w:rsidR="00C5490B" w:rsidRPr="000A09B6" w:rsidRDefault="00C5490B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b) </w:t>
      </w:r>
      <w:r w:rsidRPr="000A09B6">
        <w:rPr>
          <w:kern w:val="0"/>
          <w:lang w:eastAsia="hu-HU"/>
        </w:rPr>
        <w:t>a képviselő-testület hatáskörét a nemzetiségi önkormányzat képviselő-testülete vagy a társulási tanács gyakorolja,</w:t>
      </w:r>
    </w:p>
    <w:p w14:paraId="25B53255" w14:textId="77777777" w:rsidR="00C5490B" w:rsidRPr="000A09B6" w:rsidRDefault="00C5490B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c) </w:t>
      </w:r>
      <w:r w:rsidRPr="000A09B6">
        <w:rPr>
          <w:kern w:val="0"/>
          <w:lang w:eastAsia="hu-HU"/>
        </w:rPr>
        <w:t>a polgármester részére meghatározott feladatokat a nemzetiségi önkormányzat elnöke vagy a társulási tanács elnöke látja el,</w:t>
      </w:r>
    </w:p>
    <w:p w14:paraId="3358B03C" w14:textId="77777777" w:rsidR="00C5490B" w:rsidRPr="000A09B6" w:rsidRDefault="00C5490B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d) </w:t>
      </w:r>
      <w:r w:rsidRPr="000A09B6">
        <w:rPr>
          <w:kern w:val="0"/>
          <w:lang w:eastAsia="hu-HU"/>
        </w:rPr>
        <w:t>a jegyző részére meghatározott feladatokat - a helyi nemzetiségi önkormányzatok kivételével - az országos nemzetiségi önkormányzat hivatalvezetője vagy a társulási tanács munkaszervezeti feladatait ellátó költségvetési szerv vezetője látja el.</w:t>
      </w:r>
    </w:p>
    <w:p w14:paraId="6C6DC0F7" w14:textId="77777777" w:rsidR="00B80F20" w:rsidRPr="000A09B6" w:rsidRDefault="00B80F20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</w:p>
    <w:p w14:paraId="4990B565" w14:textId="75EC7573" w:rsidR="003B7DDE" w:rsidRPr="006F4476" w:rsidRDefault="006F4476" w:rsidP="006F4476">
      <w:pPr>
        <w:jc w:val="both"/>
        <w:rPr>
          <w:bCs/>
        </w:rPr>
      </w:pPr>
      <w:r>
        <w:rPr>
          <w:bCs/>
        </w:rPr>
        <w:t>1.</w:t>
      </w:r>
      <w:r w:rsidR="008A3F9E" w:rsidRPr="006F4476">
        <w:rPr>
          <w:bCs/>
        </w:rPr>
        <w:t>melléklet a költségvetési mérleg közigazgatási tagolásban.</w:t>
      </w:r>
    </w:p>
    <w:p w14:paraId="611786A8" w14:textId="49FA9A5D" w:rsidR="006F4476" w:rsidRPr="006F4476" w:rsidRDefault="006F4476" w:rsidP="006F4476">
      <w:pPr>
        <w:jc w:val="both"/>
        <w:rPr>
          <w:bCs/>
        </w:rPr>
      </w:pPr>
      <w:r>
        <w:rPr>
          <w:bCs/>
        </w:rPr>
        <w:t>2.</w:t>
      </w:r>
      <w:r w:rsidRPr="006F4476">
        <w:rPr>
          <w:bCs/>
        </w:rPr>
        <w:t>melléklet az önkormányzat kiadásai</w:t>
      </w:r>
    </w:p>
    <w:p w14:paraId="3350E242" w14:textId="3256BD68" w:rsidR="006F4476" w:rsidRPr="000A09B6" w:rsidRDefault="006F4476" w:rsidP="006F4476">
      <w:pPr>
        <w:jc w:val="both"/>
      </w:pPr>
      <w:r w:rsidRPr="000A09B6">
        <w:t>3.</w:t>
      </w:r>
      <w:r>
        <w:t xml:space="preserve"> </w:t>
      </w:r>
      <w:r w:rsidRPr="000A09B6">
        <w:t>melléklet az önkormányzat 2020. évi költségvetési bevételei.</w:t>
      </w:r>
    </w:p>
    <w:p w14:paraId="4104D9FD" w14:textId="77777777" w:rsidR="006F4476" w:rsidRPr="000A09B6" w:rsidRDefault="006F4476" w:rsidP="006F4476">
      <w:pPr>
        <w:jc w:val="both"/>
      </w:pPr>
      <w:r w:rsidRPr="000A09B6">
        <w:t>4. melléklet Nullára leírt, de használatban lévő eszközök állománya</w:t>
      </w:r>
    </w:p>
    <w:p w14:paraId="722BA87B" w14:textId="77777777" w:rsidR="006F4476" w:rsidRPr="000A09B6" w:rsidRDefault="006F4476" w:rsidP="006F4476">
      <w:pPr>
        <w:jc w:val="both"/>
      </w:pPr>
      <w:r w:rsidRPr="000A09B6">
        <w:t>5. melléklet felhalmozási költségvetés</w:t>
      </w:r>
    </w:p>
    <w:p w14:paraId="0FEB7444" w14:textId="77777777" w:rsidR="006F4476" w:rsidRPr="000A09B6" w:rsidRDefault="006F4476" w:rsidP="006F4476">
      <w:pPr>
        <w:jc w:val="both"/>
      </w:pPr>
      <w:r w:rsidRPr="000A09B6">
        <w:t>6. melléklet működési költségvetés</w:t>
      </w:r>
    </w:p>
    <w:p w14:paraId="56D818A9" w14:textId="77777777" w:rsidR="006F4476" w:rsidRPr="000A09B6" w:rsidRDefault="006F4476" w:rsidP="006F4476">
      <w:pPr>
        <w:jc w:val="both"/>
      </w:pPr>
      <w:r w:rsidRPr="000A09B6">
        <w:t>7. melléklet maradvány kimutatás</w:t>
      </w:r>
    </w:p>
    <w:p w14:paraId="3B3701EF" w14:textId="77777777" w:rsidR="006F4476" w:rsidRPr="000A09B6" w:rsidRDefault="006F4476" w:rsidP="006F4476">
      <w:pPr>
        <w:jc w:val="both"/>
      </w:pPr>
      <w:r w:rsidRPr="000A09B6">
        <w:t>8. melléklet Roma Nemzetiségi Önkormányzat mérlege</w:t>
      </w:r>
    </w:p>
    <w:p w14:paraId="4851EEF0" w14:textId="77777777" w:rsidR="006F4476" w:rsidRPr="000A09B6" w:rsidRDefault="006F4476" w:rsidP="006F4476">
      <w:pPr>
        <w:jc w:val="both"/>
      </w:pPr>
      <w:r w:rsidRPr="000A09B6">
        <w:t>9. melléklet Roma Nemzetiségi Önkormányzat eredmény kimutatása</w:t>
      </w:r>
    </w:p>
    <w:p w14:paraId="0A48411C" w14:textId="3CD8D46E" w:rsidR="006F4476" w:rsidRPr="000A09B6" w:rsidRDefault="006F4476" w:rsidP="006F4476">
      <w:pPr>
        <w:jc w:val="both"/>
      </w:pPr>
      <w:r w:rsidRPr="000A09B6">
        <w:t xml:space="preserve">10.melléklet Roma Nemzetiségi Önkormányzat összesen pénzeszközök változásának </w:t>
      </w:r>
      <w:r>
        <w:t>be</w:t>
      </w:r>
      <w:r w:rsidRPr="000A09B6">
        <w:t xml:space="preserve">mutatása </w:t>
      </w:r>
    </w:p>
    <w:p w14:paraId="10F6936F" w14:textId="77777777" w:rsidR="006F4476" w:rsidRPr="000A09B6" w:rsidRDefault="006F4476" w:rsidP="006F4476">
      <w:pPr>
        <w:jc w:val="both"/>
      </w:pPr>
      <w:r w:rsidRPr="000A09B6">
        <w:t>11. melléklet Beruházási kiadások</w:t>
      </w:r>
    </w:p>
    <w:p w14:paraId="4F8BD2A9" w14:textId="77777777" w:rsidR="00B80F20" w:rsidRPr="000A09B6" w:rsidRDefault="00B80F20" w:rsidP="00ED0A6D">
      <w:pPr>
        <w:ind w:left="765" w:hanging="795"/>
        <w:jc w:val="both"/>
        <w:rPr>
          <w:bCs/>
        </w:rPr>
      </w:pPr>
    </w:p>
    <w:p w14:paraId="421D779C" w14:textId="51FAE428" w:rsidR="00B87921" w:rsidRPr="000A09B6" w:rsidRDefault="008A3F9E" w:rsidP="00ED0A6D">
      <w:pPr>
        <w:ind w:hanging="30"/>
        <w:jc w:val="both"/>
        <w:rPr>
          <w:bCs/>
        </w:rPr>
      </w:pPr>
      <w:r w:rsidRPr="000A09B6">
        <w:rPr>
          <w:bCs/>
        </w:rPr>
        <w:t xml:space="preserve">A 2. számú melléklet az önkormányzat kiadásait mutatja. Itt a dologi kiadások </w:t>
      </w:r>
      <w:r w:rsidR="00016573" w:rsidRPr="000A09B6">
        <w:rPr>
          <w:bCs/>
        </w:rPr>
        <w:t>(</w:t>
      </w:r>
      <w:r w:rsidR="00BE59F4" w:rsidRPr="000A09B6">
        <w:rPr>
          <w:bCs/>
        </w:rPr>
        <w:t>643</w:t>
      </w:r>
      <w:r w:rsidR="00016573" w:rsidRPr="000A09B6">
        <w:rPr>
          <w:bCs/>
        </w:rPr>
        <w:t>eFt)</w:t>
      </w:r>
      <w:r w:rsidR="00736D6B" w:rsidRPr="000A09B6">
        <w:rPr>
          <w:bCs/>
        </w:rPr>
        <w:t xml:space="preserve"> </w:t>
      </w:r>
      <w:r w:rsidRPr="000A09B6">
        <w:rPr>
          <w:bCs/>
        </w:rPr>
        <w:t>tovább</w:t>
      </w:r>
      <w:r w:rsidR="00016573" w:rsidRPr="000A09B6">
        <w:rPr>
          <w:bCs/>
        </w:rPr>
        <w:t xml:space="preserve"> </w:t>
      </w:r>
      <w:r w:rsidRPr="000A09B6">
        <w:rPr>
          <w:bCs/>
        </w:rPr>
        <w:t>részletezhetők.</w:t>
      </w:r>
    </w:p>
    <w:p w14:paraId="7F8269D2" w14:textId="77777777" w:rsidR="0004523E" w:rsidRPr="000A09B6" w:rsidRDefault="0004523E" w:rsidP="008A3F9E">
      <w:pPr>
        <w:ind w:hanging="30"/>
        <w:jc w:val="both"/>
        <w:rPr>
          <w:bCs/>
        </w:rPr>
      </w:pPr>
    </w:p>
    <w:p w14:paraId="49228870" w14:textId="77777777" w:rsidR="00736D6B" w:rsidRPr="000A09B6" w:rsidRDefault="00736D6B" w:rsidP="008A3F9E">
      <w:pPr>
        <w:ind w:hanging="30"/>
        <w:jc w:val="both"/>
        <w:rPr>
          <w:b/>
        </w:rPr>
      </w:pPr>
      <w:r w:rsidRPr="000A09B6">
        <w:rPr>
          <w:b/>
          <w:u w:val="single"/>
        </w:rPr>
        <w:t>Üzemeltetési</w:t>
      </w:r>
      <w:r w:rsidR="001A0FA3" w:rsidRPr="000A09B6">
        <w:rPr>
          <w:b/>
          <w:u w:val="single"/>
        </w:rPr>
        <w:t xml:space="preserve"> anyag</w:t>
      </w:r>
      <w:r w:rsidRPr="000A09B6">
        <w:rPr>
          <w:b/>
          <w:u w:val="single"/>
        </w:rPr>
        <w:t>ok</w:t>
      </w:r>
      <w:r w:rsidR="00B80F20" w:rsidRPr="000A09B6">
        <w:rPr>
          <w:b/>
          <w:u w:val="single"/>
        </w:rPr>
        <w:t xml:space="preserve"> Ft</w:t>
      </w:r>
      <w:r w:rsidR="00B87921" w:rsidRPr="000A09B6">
        <w:rPr>
          <w:b/>
        </w:rPr>
        <w:t>:</w:t>
      </w:r>
    </w:p>
    <w:tbl>
      <w:tblPr>
        <w:tblW w:w="38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7"/>
        <w:gridCol w:w="1037"/>
      </w:tblGrid>
      <w:tr w:rsidR="000A09B6" w:rsidRPr="000A09B6" w14:paraId="438789DD" w14:textId="77777777" w:rsidTr="00B80F20">
        <w:trPr>
          <w:trHeight w:val="269"/>
        </w:trPr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00EF" w14:textId="49790261" w:rsidR="00736D6B" w:rsidRPr="000A09B6" w:rsidRDefault="00BE59F4" w:rsidP="00736D6B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Ajándék kosár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BF45" w14:textId="60EB1BD4" w:rsidR="00736D6B" w:rsidRPr="000A09B6" w:rsidRDefault="00BE59F4" w:rsidP="00736D6B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6 299</w:t>
            </w:r>
          </w:p>
        </w:tc>
      </w:tr>
      <w:tr w:rsidR="000A09B6" w:rsidRPr="000A09B6" w14:paraId="36E86535" w14:textId="77777777" w:rsidTr="00B80F20">
        <w:trPr>
          <w:trHeight w:val="269"/>
        </w:trPr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ABAA" w14:textId="77777777" w:rsidR="00736D6B" w:rsidRPr="000A09B6" w:rsidRDefault="00736D6B" w:rsidP="00736D6B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Élelmiszer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3D52" w14:textId="71FB5F34" w:rsidR="00736D6B" w:rsidRPr="000A09B6" w:rsidRDefault="00BE59F4" w:rsidP="00736D6B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135 539</w:t>
            </w:r>
          </w:p>
        </w:tc>
      </w:tr>
      <w:tr w:rsidR="000A09B6" w:rsidRPr="000A09B6" w14:paraId="1CA02007" w14:textId="77777777" w:rsidTr="00B80F20">
        <w:trPr>
          <w:trHeight w:val="269"/>
        </w:trPr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625C" w14:textId="77777777" w:rsidR="00736D6B" w:rsidRPr="000A09B6" w:rsidRDefault="00736D6B" w:rsidP="00736D6B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Pb gáz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52B1" w14:textId="619C8E4A" w:rsidR="00736D6B" w:rsidRPr="000A09B6" w:rsidRDefault="00736D6B" w:rsidP="00736D6B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 xml:space="preserve">3 </w:t>
            </w:r>
            <w:r w:rsidR="00BE59F4"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937</w:t>
            </w:r>
          </w:p>
        </w:tc>
      </w:tr>
      <w:tr w:rsidR="000A09B6" w:rsidRPr="000A09B6" w14:paraId="34A7E2EE" w14:textId="77777777" w:rsidTr="00B80F20">
        <w:trPr>
          <w:trHeight w:val="269"/>
        </w:trPr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6A35" w14:textId="77777777" w:rsidR="00736D6B" w:rsidRPr="000A09B6" w:rsidRDefault="00736D6B" w:rsidP="00736D6B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Virág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5FE7" w14:textId="36921279" w:rsidR="00736D6B" w:rsidRPr="000A09B6" w:rsidRDefault="00BE59F4" w:rsidP="00736D6B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42 716</w:t>
            </w:r>
          </w:p>
        </w:tc>
      </w:tr>
      <w:tr w:rsidR="000A09B6" w:rsidRPr="000A09B6" w14:paraId="6FB0A6B7" w14:textId="77777777" w:rsidTr="00B80F20">
        <w:trPr>
          <w:trHeight w:val="269"/>
        </w:trPr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E9270" w14:textId="1AA6BE2A" w:rsidR="00736D6B" w:rsidRPr="000A09B6" w:rsidRDefault="00736D6B" w:rsidP="00736D6B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Egyéb anyag</w:t>
            </w:r>
            <w:r w:rsidR="00BE59F4" w:rsidRPr="000A09B6">
              <w:rPr>
                <w:kern w:val="0"/>
                <w:lang w:eastAsia="hu-HU"/>
              </w:rPr>
              <w:t>(dekor)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49B25" w14:textId="0A25CC32" w:rsidR="00736D6B" w:rsidRPr="000A09B6" w:rsidRDefault="00BE59F4" w:rsidP="00736D6B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u w:val="single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u w:val="single"/>
                <w:lang w:eastAsia="hu-HU"/>
              </w:rPr>
              <w:t>23 894</w:t>
            </w:r>
          </w:p>
        </w:tc>
      </w:tr>
      <w:tr w:rsidR="00736D6B" w:rsidRPr="000A09B6" w14:paraId="33DF2C2D" w14:textId="77777777" w:rsidTr="00B80F20">
        <w:trPr>
          <w:trHeight w:val="269"/>
        </w:trPr>
        <w:tc>
          <w:tcPr>
            <w:tcW w:w="2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B73C" w14:textId="77777777" w:rsidR="00736D6B" w:rsidRPr="000A09B6" w:rsidRDefault="00736D6B" w:rsidP="00736D6B">
            <w:pPr>
              <w:widowControl/>
              <w:suppressAutoHyphens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6344" w14:textId="13585AFC" w:rsidR="00736D6B" w:rsidRPr="000A09B6" w:rsidRDefault="00BE59F4" w:rsidP="00736D6B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212 385</w:t>
            </w:r>
          </w:p>
        </w:tc>
      </w:tr>
    </w:tbl>
    <w:p w14:paraId="13AE9996" w14:textId="77777777" w:rsidR="00262043" w:rsidRPr="000A09B6" w:rsidRDefault="00262043" w:rsidP="008A3F9E">
      <w:pPr>
        <w:ind w:hanging="30"/>
        <w:jc w:val="both"/>
        <w:rPr>
          <w:bCs/>
        </w:rPr>
      </w:pPr>
    </w:p>
    <w:p w14:paraId="2C46BDCD" w14:textId="77777777" w:rsidR="00B80F20" w:rsidRPr="000A09B6" w:rsidRDefault="0004523E" w:rsidP="008A3F9E">
      <w:pPr>
        <w:ind w:hanging="30"/>
        <w:jc w:val="both"/>
        <w:rPr>
          <w:b/>
          <w:u w:val="single"/>
        </w:rPr>
      </w:pPr>
      <w:r w:rsidRPr="000A09B6">
        <w:rPr>
          <w:b/>
          <w:u w:val="single"/>
        </w:rPr>
        <w:t>Egyéb szolgáltatásokra</w:t>
      </w:r>
      <w:r w:rsidR="00B80F20" w:rsidRPr="000A09B6">
        <w:rPr>
          <w:b/>
          <w:u w:val="single"/>
        </w:rPr>
        <w:t xml:space="preserve"> Ft</w:t>
      </w:r>
      <w:r w:rsidRPr="000A09B6">
        <w:rPr>
          <w:b/>
          <w:u w:val="single"/>
        </w:rPr>
        <w:t>:</w:t>
      </w:r>
    </w:p>
    <w:tbl>
      <w:tblPr>
        <w:tblW w:w="3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6"/>
        <w:gridCol w:w="1033"/>
      </w:tblGrid>
      <w:tr w:rsidR="000A09B6" w:rsidRPr="000A09B6" w14:paraId="6AB72C73" w14:textId="77777777" w:rsidTr="00B80F20">
        <w:trPr>
          <w:trHeight w:val="256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1EB1" w14:textId="77777777" w:rsidR="00B80F20" w:rsidRPr="000A09B6" w:rsidRDefault="00B80F20" w:rsidP="00B80F20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OTP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2F22" w14:textId="0A8E6A06" w:rsidR="00B80F20" w:rsidRPr="000A09B6" w:rsidRDefault="00B448B7" w:rsidP="00B80F20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28 337</w:t>
            </w:r>
          </w:p>
        </w:tc>
      </w:tr>
      <w:tr w:rsidR="000A09B6" w:rsidRPr="000A09B6" w14:paraId="29AC31B3" w14:textId="77777777" w:rsidTr="00B80F20">
        <w:trPr>
          <w:trHeight w:val="256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36C9" w14:textId="78A35BE6" w:rsidR="00B80F20" w:rsidRPr="000A09B6" w:rsidRDefault="00B80F20" w:rsidP="00B80F20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Előadó művész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6BED" w14:textId="3233597E" w:rsidR="00B80F20" w:rsidRPr="000A09B6" w:rsidRDefault="00B448B7" w:rsidP="00B80F20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30 000</w:t>
            </w:r>
          </w:p>
        </w:tc>
      </w:tr>
      <w:tr w:rsidR="000A09B6" w:rsidRPr="000A09B6" w14:paraId="413EEDDF" w14:textId="77777777" w:rsidTr="00B80F20">
        <w:trPr>
          <w:trHeight w:val="256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6842" w14:textId="7AC2F605" w:rsidR="00B80F20" w:rsidRPr="000A09B6" w:rsidRDefault="00B448B7" w:rsidP="00B80F20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H</w:t>
            </w:r>
            <w:r w:rsidR="00B80F20" w:rsidRPr="000A09B6">
              <w:rPr>
                <w:kern w:val="0"/>
                <w:lang w:eastAsia="hu-HU"/>
              </w:rPr>
              <w:t>angosítás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89B6" w14:textId="3F8459C7" w:rsidR="00B80F20" w:rsidRPr="000A09B6" w:rsidRDefault="00B448B7" w:rsidP="00B80F20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55 118</w:t>
            </w:r>
          </w:p>
        </w:tc>
      </w:tr>
      <w:tr w:rsidR="000A09B6" w:rsidRPr="000A09B6" w14:paraId="79AF6483" w14:textId="77777777" w:rsidTr="00B80F20">
        <w:trPr>
          <w:trHeight w:val="256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6D4A" w14:textId="17163133" w:rsidR="00B80F20" w:rsidRPr="000A09B6" w:rsidRDefault="00824637" w:rsidP="00B80F20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Vidámpark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6B39" w14:textId="54CF5269" w:rsidR="00B80F20" w:rsidRPr="000A09B6" w:rsidRDefault="00824637" w:rsidP="00B80F20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200 000</w:t>
            </w:r>
          </w:p>
        </w:tc>
      </w:tr>
      <w:tr w:rsidR="000A09B6" w:rsidRPr="000A09B6" w14:paraId="0AF2864C" w14:textId="77777777" w:rsidTr="00B80F20">
        <w:trPr>
          <w:trHeight w:val="256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EAA0" w14:textId="6945A2E3" w:rsidR="00B80F20" w:rsidRPr="000A09B6" w:rsidRDefault="001579D3" w:rsidP="00B80F20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0A09B6">
              <w:rPr>
                <w:kern w:val="0"/>
                <w:lang w:eastAsia="hu-HU"/>
              </w:rPr>
              <w:t>P</w:t>
            </w:r>
            <w:r w:rsidR="008534D1" w:rsidRPr="000A09B6">
              <w:rPr>
                <w:kern w:val="0"/>
                <w:lang w:eastAsia="hu-HU"/>
              </w:rPr>
              <w:t>rojekt tábla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F1D6" w14:textId="5B2F5E70" w:rsidR="00B80F20" w:rsidRPr="000A09B6" w:rsidRDefault="008534D1" w:rsidP="00B80F20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6 360</w:t>
            </w:r>
          </w:p>
        </w:tc>
      </w:tr>
      <w:tr w:rsidR="000A09B6" w:rsidRPr="000A09B6" w14:paraId="12072767" w14:textId="77777777" w:rsidTr="00B80F20">
        <w:trPr>
          <w:trHeight w:val="256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C649" w14:textId="110BC67A" w:rsidR="00B80F20" w:rsidRPr="008A7BC5" w:rsidRDefault="008534D1" w:rsidP="00B80F20">
            <w:pPr>
              <w:widowControl/>
              <w:suppressAutoHyphens w:val="0"/>
              <w:rPr>
                <w:kern w:val="0"/>
                <w:u w:val="single"/>
                <w:lang w:eastAsia="hu-HU"/>
              </w:rPr>
            </w:pPr>
            <w:r w:rsidRPr="008A7BC5">
              <w:rPr>
                <w:kern w:val="0"/>
                <w:u w:val="single"/>
                <w:lang w:eastAsia="hu-HU"/>
              </w:rPr>
              <w:t>Bakonyalja tagdíj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AC99" w14:textId="16B99368" w:rsidR="00B80F20" w:rsidRPr="008A7BC5" w:rsidRDefault="008534D1" w:rsidP="00B80F20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u w:val="single"/>
                <w:lang w:eastAsia="hu-HU"/>
              </w:rPr>
            </w:pPr>
            <w:r w:rsidRPr="008A7BC5">
              <w:rPr>
                <w:rFonts w:ascii="Arial" w:hAnsi="Arial" w:cs="Arial"/>
                <w:kern w:val="0"/>
                <w:sz w:val="20"/>
                <w:szCs w:val="20"/>
                <w:u w:val="single"/>
                <w:lang w:eastAsia="hu-HU"/>
              </w:rPr>
              <w:t>7 500</w:t>
            </w:r>
          </w:p>
        </w:tc>
      </w:tr>
      <w:tr w:rsidR="00B80F20" w:rsidRPr="000A09B6" w14:paraId="6B39A6AE" w14:textId="77777777" w:rsidTr="00B80F20">
        <w:trPr>
          <w:trHeight w:val="256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6806" w14:textId="77777777" w:rsidR="00B80F20" w:rsidRPr="000A09B6" w:rsidRDefault="00B80F20" w:rsidP="00B80F20">
            <w:pPr>
              <w:widowControl/>
              <w:suppressAutoHyphens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92F5" w14:textId="2CF931F1" w:rsidR="00B80F20" w:rsidRPr="000A09B6" w:rsidRDefault="00B045E0" w:rsidP="00B80F20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0A09B6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327 315</w:t>
            </w:r>
          </w:p>
        </w:tc>
      </w:tr>
    </w:tbl>
    <w:p w14:paraId="1DBC4DB6" w14:textId="77777777" w:rsidR="0004523E" w:rsidRPr="000A09B6" w:rsidRDefault="0004523E" w:rsidP="008A3F9E">
      <w:pPr>
        <w:ind w:hanging="30"/>
        <w:jc w:val="both"/>
        <w:rPr>
          <w:bCs/>
          <w:u w:val="single"/>
        </w:rPr>
      </w:pPr>
    </w:p>
    <w:p w14:paraId="425C0D1F" w14:textId="77777777" w:rsidR="006F4476" w:rsidRDefault="00B80F20" w:rsidP="002155A4">
      <w:pPr>
        <w:ind w:hanging="30"/>
        <w:jc w:val="both"/>
        <w:rPr>
          <w:bCs/>
        </w:rPr>
      </w:pPr>
      <w:r w:rsidRPr="000A09B6">
        <w:rPr>
          <w:b/>
          <w:u w:val="single"/>
        </w:rPr>
        <w:t>Kiküldetések kiadásai Ft</w:t>
      </w:r>
      <w:r w:rsidR="0004523E" w:rsidRPr="000A09B6">
        <w:rPr>
          <w:b/>
          <w:u w:val="single"/>
        </w:rPr>
        <w:t>:</w:t>
      </w:r>
      <w:r w:rsidRPr="000A09B6">
        <w:rPr>
          <w:b/>
        </w:rPr>
        <w:tab/>
      </w:r>
      <w:r w:rsidR="002B0732" w:rsidRPr="000A09B6">
        <w:rPr>
          <w:b/>
        </w:rPr>
        <w:t xml:space="preserve">    </w:t>
      </w:r>
      <w:r w:rsidR="002B0732" w:rsidRPr="000A09B6">
        <w:rPr>
          <w:rFonts w:ascii="Arial" w:hAnsi="Arial" w:cs="Arial"/>
          <w:b/>
          <w:bCs/>
          <w:kern w:val="0"/>
          <w:sz w:val="20"/>
          <w:szCs w:val="20"/>
          <w:lang w:eastAsia="hu-HU"/>
        </w:rPr>
        <w:t>30</w:t>
      </w:r>
      <w:r w:rsidR="006F4476">
        <w:rPr>
          <w:rFonts w:ascii="Arial" w:hAnsi="Arial" w:cs="Arial"/>
          <w:b/>
          <w:bCs/>
          <w:kern w:val="0"/>
          <w:sz w:val="20"/>
          <w:szCs w:val="20"/>
          <w:lang w:eastAsia="hu-HU"/>
        </w:rPr>
        <w:t> </w:t>
      </w:r>
      <w:r w:rsidR="002B0732" w:rsidRPr="000A09B6">
        <w:rPr>
          <w:rFonts w:ascii="Arial" w:hAnsi="Arial" w:cs="Arial"/>
          <w:b/>
          <w:bCs/>
          <w:kern w:val="0"/>
          <w:sz w:val="20"/>
          <w:szCs w:val="20"/>
          <w:lang w:eastAsia="hu-HU"/>
        </w:rPr>
        <w:t>910</w:t>
      </w:r>
      <w:r w:rsidR="0004523E" w:rsidRPr="000A09B6">
        <w:rPr>
          <w:bCs/>
        </w:rPr>
        <w:t xml:space="preserve"> </w:t>
      </w:r>
    </w:p>
    <w:p w14:paraId="386781DB" w14:textId="26450EF8" w:rsidR="002155A4" w:rsidRPr="000A09B6" w:rsidRDefault="0004523E" w:rsidP="002155A4">
      <w:pPr>
        <w:ind w:hanging="30"/>
        <w:jc w:val="both"/>
        <w:rPr>
          <w:bCs/>
        </w:rPr>
      </w:pPr>
      <w:r w:rsidRPr="000A09B6">
        <w:rPr>
          <w:bCs/>
        </w:rPr>
        <w:lastRenderedPageBreak/>
        <w:t xml:space="preserve">  </w:t>
      </w:r>
    </w:p>
    <w:p w14:paraId="75ED8D57" w14:textId="0CE5F7F6" w:rsidR="002155A4" w:rsidRPr="000A09B6" w:rsidRDefault="002155A4" w:rsidP="002155A4">
      <w:pPr>
        <w:ind w:hanging="30"/>
        <w:jc w:val="both"/>
        <w:rPr>
          <w:b/>
        </w:rPr>
      </w:pPr>
      <w:r w:rsidRPr="000A09B6">
        <w:rPr>
          <w:b/>
          <w:u w:val="single"/>
        </w:rPr>
        <w:t>Á</w:t>
      </w:r>
      <w:r w:rsidR="00016573" w:rsidRPr="000A09B6">
        <w:rPr>
          <w:b/>
          <w:u w:val="single"/>
        </w:rPr>
        <w:t>FA</w:t>
      </w:r>
      <w:r w:rsidRPr="000A09B6">
        <w:rPr>
          <w:b/>
          <w:u w:val="single"/>
        </w:rPr>
        <w:t xml:space="preserve"> Ft</w:t>
      </w:r>
      <w:r w:rsidR="00016573" w:rsidRPr="000A09B6">
        <w:rPr>
          <w:b/>
          <w:u w:val="single"/>
        </w:rPr>
        <w:t>:</w:t>
      </w:r>
      <w:r w:rsidR="00016573" w:rsidRPr="000A09B6">
        <w:rPr>
          <w:bCs/>
        </w:rPr>
        <w:tab/>
      </w:r>
      <w:r w:rsidR="00016573" w:rsidRPr="000A09B6">
        <w:rPr>
          <w:bCs/>
        </w:rPr>
        <w:tab/>
      </w:r>
      <w:r w:rsidRPr="000A09B6">
        <w:rPr>
          <w:b/>
        </w:rPr>
        <w:t xml:space="preserve">          </w:t>
      </w:r>
      <w:r w:rsidR="002B0732" w:rsidRPr="000A09B6">
        <w:rPr>
          <w:b/>
        </w:rPr>
        <w:t xml:space="preserve">      </w:t>
      </w:r>
      <w:r w:rsidR="002B0732" w:rsidRPr="000A09B6">
        <w:rPr>
          <w:rFonts w:ascii="Arial" w:hAnsi="Arial" w:cs="Arial"/>
          <w:b/>
          <w:bCs/>
          <w:kern w:val="0"/>
          <w:sz w:val="20"/>
          <w:szCs w:val="20"/>
          <w:lang w:eastAsia="hu-HU"/>
        </w:rPr>
        <w:t>72 799</w:t>
      </w:r>
      <w:r w:rsidR="00016573" w:rsidRPr="000A09B6">
        <w:rPr>
          <w:rFonts w:ascii="Arial" w:hAnsi="Arial" w:cs="Arial"/>
          <w:b/>
          <w:bCs/>
          <w:kern w:val="0"/>
          <w:sz w:val="20"/>
          <w:szCs w:val="20"/>
          <w:lang w:eastAsia="hu-HU"/>
        </w:rPr>
        <w:tab/>
      </w:r>
    </w:p>
    <w:p w14:paraId="54F938D4" w14:textId="77777777" w:rsidR="002B0732" w:rsidRPr="000A09B6" w:rsidRDefault="002B0732" w:rsidP="00CC5CBD">
      <w:pPr>
        <w:jc w:val="both"/>
      </w:pPr>
    </w:p>
    <w:p w14:paraId="617D51F9" w14:textId="206A8AC6" w:rsidR="006F4476" w:rsidRDefault="005E12AC" w:rsidP="006F4476">
      <w:pPr>
        <w:jc w:val="both"/>
      </w:pPr>
      <w:r>
        <w:t>4. számú melléklet</w:t>
      </w:r>
      <w:r w:rsidR="006F4476">
        <w:t xml:space="preserve"> a n</w:t>
      </w:r>
      <w:r w:rsidR="006F4476" w:rsidRPr="000A09B6">
        <w:t>ullára leírt, de használatban lévő eszközök állománya</w:t>
      </w:r>
    </w:p>
    <w:p w14:paraId="0F8F6E8C" w14:textId="77777777" w:rsidR="005E12AC" w:rsidRDefault="005E12AC" w:rsidP="005E12AC">
      <w:pPr>
        <w:jc w:val="both"/>
      </w:pPr>
      <w:r w:rsidRPr="005E12AC">
        <w:t>A</w:t>
      </w:r>
      <w:r>
        <w:t xml:space="preserve"> táblázat C oszlop</w:t>
      </w:r>
      <w:r w:rsidRPr="005E12AC">
        <w:t xml:space="preserve"> 2.és 3.sor</w:t>
      </w:r>
      <w:r>
        <w:t>a</w:t>
      </w:r>
      <w:r w:rsidRPr="005E12AC">
        <w:t xml:space="preserve"> 1-1 -el növekedett</w:t>
      </w:r>
      <w:r>
        <w:t>, azonban ez több eszközt tartalmaz. Konkrétan a beruházásoknál felsorolt pályázati eszközöket.</w:t>
      </w:r>
    </w:p>
    <w:p w14:paraId="0C90B0DA" w14:textId="77777777" w:rsidR="005E12AC" w:rsidRPr="000A09B6" w:rsidRDefault="005E12AC" w:rsidP="005E12AC">
      <w:pPr>
        <w:jc w:val="both"/>
      </w:pPr>
    </w:p>
    <w:p w14:paraId="7B1CE5FF" w14:textId="56263947" w:rsidR="005E12AC" w:rsidRDefault="005E12AC" w:rsidP="005E12AC">
      <w:pPr>
        <w:jc w:val="both"/>
      </w:pPr>
      <w:r>
        <w:t>11. számú melléklet</w:t>
      </w:r>
      <w:r w:rsidR="006F4476">
        <w:t xml:space="preserve"> a beruházások</w:t>
      </w:r>
    </w:p>
    <w:p w14:paraId="25DD5352" w14:textId="2D359188" w:rsidR="005E12AC" w:rsidRPr="000A09B6" w:rsidRDefault="005E12AC" w:rsidP="005E12AC">
      <w:pPr>
        <w:jc w:val="both"/>
      </w:pPr>
      <w:r w:rsidRPr="000A09B6">
        <w:t xml:space="preserve">A beruházási kiadások az elnyert </w:t>
      </w:r>
      <w:proofErr w:type="spellStart"/>
      <w:r w:rsidRPr="000A09B6">
        <w:t>Leader</w:t>
      </w:r>
      <w:proofErr w:type="spellEnd"/>
      <w:r w:rsidRPr="000A09B6">
        <w:t xml:space="preserve"> pályázat beruházásait tartalmazza.</w:t>
      </w:r>
    </w:p>
    <w:p w14:paraId="36D22624" w14:textId="77777777" w:rsidR="005E12AC" w:rsidRPr="000A09B6" w:rsidRDefault="005E12AC" w:rsidP="005E12AC">
      <w:pPr>
        <w:jc w:val="both"/>
      </w:pPr>
      <w:r w:rsidRPr="000A09B6">
        <w:t>Az informatikai beruházások: 3db számítógép programmal és tartozékokkal, 3db pendrive, 3db memória kártya, 3db hangszóró, laminálógép, nyomtató, videó kamera tartozékokkal, router, fényképezőgép tartozékokkal.</w:t>
      </w:r>
    </w:p>
    <w:p w14:paraId="26B7F75D" w14:textId="03C9CA8A" w:rsidR="005E12AC" w:rsidRDefault="005E12AC" w:rsidP="00CC5CBD">
      <w:pPr>
        <w:jc w:val="both"/>
      </w:pPr>
      <w:r w:rsidRPr="000A09B6">
        <w:t xml:space="preserve">Egyéb tárgyi eszköz beruházás: </w:t>
      </w:r>
      <w:r>
        <w:t xml:space="preserve">50 db </w:t>
      </w:r>
      <w:r w:rsidRPr="000A09B6">
        <w:t>szék</w:t>
      </w:r>
      <w:r>
        <w:t xml:space="preserve"> és 9 db </w:t>
      </w:r>
      <w:r w:rsidRPr="000A09B6">
        <w:t>asztal</w:t>
      </w:r>
      <w:r>
        <w:t>.</w:t>
      </w:r>
    </w:p>
    <w:p w14:paraId="69B09747" w14:textId="77777777" w:rsidR="005E12AC" w:rsidRDefault="005E12AC" w:rsidP="00CC5CBD">
      <w:pPr>
        <w:jc w:val="both"/>
      </w:pPr>
    </w:p>
    <w:p w14:paraId="78887AB4" w14:textId="2E6F0B15" w:rsidR="00DA16E5" w:rsidRDefault="00DA16E5" w:rsidP="00DA16E5">
      <w:pPr>
        <w:jc w:val="both"/>
        <w:rPr>
          <w:bCs/>
          <w:u w:val="single"/>
        </w:rPr>
      </w:pPr>
      <w:r w:rsidRPr="006F4476">
        <w:rPr>
          <w:bCs/>
          <w:u w:val="single"/>
        </w:rPr>
        <w:t>Nemleges mellékletek:</w:t>
      </w:r>
    </w:p>
    <w:p w14:paraId="7508EAE9" w14:textId="77777777" w:rsidR="006F4476" w:rsidRPr="006F4476" w:rsidRDefault="006F4476" w:rsidP="00DA16E5">
      <w:pPr>
        <w:jc w:val="both"/>
        <w:rPr>
          <w:bCs/>
          <w:u w:val="single"/>
        </w:rPr>
      </w:pPr>
    </w:p>
    <w:p w14:paraId="26D856D6" w14:textId="25718692" w:rsidR="001B2F43" w:rsidRPr="000A09B6" w:rsidRDefault="001B2F43" w:rsidP="001B2F43">
      <w:pPr>
        <w:jc w:val="both"/>
        <w:rPr>
          <w:bCs/>
        </w:rPr>
      </w:pPr>
      <w:r w:rsidRPr="000A09B6">
        <w:rPr>
          <w:bCs/>
        </w:rPr>
        <w:t>Elkülönítetten az európai Uniós forrásból finanszírozott támogatással megvalósuló programok, projektek melléklet</w:t>
      </w:r>
      <w:r w:rsidR="00A44360" w:rsidRPr="000A09B6">
        <w:rPr>
          <w:bCs/>
        </w:rPr>
        <w:t xml:space="preserve">e, </w:t>
      </w:r>
      <w:r w:rsidR="00A649A3" w:rsidRPr="000A09B6">
        <w:rPr>
          <w:bCs/>
        </w:rPr>
        <w:t>H</w:t>
      </w:r>
      <w:r w:rsidR="00A44360" w:rsidRPr="000A09B6">
        <w:rPr>
          <w:bCs/>
        </w:rPr>
        <w:t>itelállomány 20</w:t>
      </w:r>
      <w:r w:rsidR="00A95F43" w:rsidRPr="000A09B6">
        <w:rPr>
          <w:bCs/>
        </w:rPr>
        <w:t>20</w:t>
      </w:r>
      <w:r w:rsidR="00A44360" w:rsidRPr="000A09B6">
        <w:rPr>
          <w:bCs/>
        </w:rPr>
        <w:t>. december 31.,</w:t>
      </w:r>
      <w:r w:rsidR="00A44360" w:rsidRPr="000A09B6">
        <w:t xml:space="preserve"> </w:t>
      </w:r>
      <w:r w:rsidR="00A649A3" w:rsidRPr="000A09B6">
        <w:rPr>
          <w:bCs/>
        </w:rPr>
        <w:t>T</w:t>
      </w:r>
      <w:r w:rsidR="00A44360" w:rsidRPr="000A09B6">
        <w:rPr>
          <w:bCs/>
        </w:rPr>
        <w:t>öbb éves kihatással járó döntések,</w:t>
      </w:r>
      <w:r w:rsidR="00A44360" w:rsidRPr="000A09B6">
        <w:t xml:space="preserve"> </w:t>
      </w:r>
      <w:r w:rsidR="00DA16E5" w:rsidRPr="000A09B6">
        <w:rPr>
          <w:bCs/>
        </w:rPr>
        <w:t>Ács Város Roma Nemzetiségi Önkormányzat</w:t>
      </w:r>
      <w:r w:rsidR="00DA16E5" w:rsidRPr="000A09B6">
        <w:rPr>
          <w:b/>
          <w:bCs/>
        </w:rPr>
        <w:t xml:space="preserve"> </w:t>
      </w:r>
      <w:r w:rsidR="00A44360" w:rsidRPr="000A09B6">
        <w:rPr>
          <w:bCs/>
        </w:rPr>
        <w:t>tulajdonában álló gazdálkodó szervezetek működéséből származó</w:t>
      </w:r>
      <w:r w:rsidR="00DA16E5" w:rsidRPr="000A09B6">
        <w:rPr>
          <w:bCs/>
        </w:rPr>
        <w:t xml:space="preserve"> kötelezettségek</w:t>
      </w:r>
      <w:r w:rsidR="00A44360" w:rsidRPr="000A09B6">
        <w:rPr>
          <w:bCs/>
        </w:rPr>
        <w:t>,</w:t>
      </w:r>
      <w:r w:rsidR="00A44360" w:rsidRPr="000A09B6">
        <w:t xml:space="preserve"> </w:t>
      </w:r>
      <w:r w:rsidR="00A649A3" w:rsidRPr="000A09B6">
        <w:t>A</w:t>
      </w:r>
      <w:r w:rsidR="00DA16E5" w:rsidRPr="000A09B6">
        <w:t>z ö</w:t>
      </w:r>
      <w:r w:rsidR="00A44360" w:rsidRPr="000A09B6">
        <w:rPr>
          <w:bCs/>
        </w:rPr>
        <w:t>nkormányzat által 20</w:t>
      </w:r>
      <w:r w:rsidR="00A95F43" w:rsidRPr="000A09B6">
        <w:rPr>
          <w:bCs/>
        </w:rPr>
        <w:t>20</w:t>
      </w:r>
      <w:r w:rsidR="00A44360" w:rsidRPr="000A09B6">
        <w:rPr>
          <w:bCs/>
        </w:rPr>
        <w:t>. évben adott közvetett támogatások</w:t>
      </w:r>
      <w:r w:rsidR="00DA16E5" w:rsidRPr="000A09B6">
        <w:rPr>
          <w:bCs/>
        </w:rPr>
        <w:t xml:space="preserve"> és a </w:t>
      </w:r>
      <w:r w:rsidR="00A649A3" w:rsidRPr="000A09B6">
        <w:rPr>
          <w:bCs/>
        </w:rPr>
        <w:t>V</w:t>
      </w:r>
      <w:r w:rsidR="00A44360" w:rsidRPr="000A09B6">
        <w:rPr>
          <w:bCs/>
        </w:rPr>
        <w:t>agyonkataszter</w:t>
      </w:r>
      <w:r w:rsidR="00DA16E5" w:rsidRPr="000A09B6">
        <w:rPr>
          <w:bCs/>
        </w:rPr>
        <w:t xml:space="preserve">. </w:t>
      </w:r>
    </w:p>
    <w:p w14:paraId="54880491" w14:textId="77777777" w:rsidR="00B87921" w:rsidRPr="000A09B6" w:rsidRDefault="00B87921" w:rsidP="00D91FA9">
      <w:pPr>
        <w:jc w:val="both"/>
      </w:pPr>
    </w:p>
    <w:p w14:paraId="01240AB1" w14:textId="116CD252" w:rsidR="00D91FA9" w:rsidRPr="000A09B6" w:rsidRDefault="00D91FA9" w:rsidP="00D91FA9">
      <w:pPr>
        <w:jc w:val="both"/>
      </w:pPr>
      <w:r w:rsidRPr="000A09B6">
        <w:t>Ács Város Roma Nemzetiségi Önkormányzat 20</w:t>
      </w:r>
      <w:r w:rsidR="000A09B6" w:rsidRPr="000A09B6">
        <w:t>20</w:t>
      </w:r>
      <w:r w:rsidRPr="000A09B6">
        <w:t xml:space="preserve">. évi zárást </w:t>
      </w:r>
      <w:r w:rsidR="002155A4" w:rsidRPr="000A09B6">
        <w:t>3.</w:t>
      </w:r>
      <w:r w:rsidR="000A09B6" w:rsidRPr="000A09B6">
        <w:t>932</w:t>
      </w:r>
      <w:r w:rsidRPr="000A09B6">
        <w:t xml:space="preserve"> ezer forint bevételi főösszeggel és </w:t>
      </w:r>
      <w:r w:rsidR="002155A4" w:rsidRPr="000A09B6">
        <w:t>3.</w:t>
      </w:r>
      <w:r w:rsidR="000A09B6" w:rsidRPr="000A09B6">
        <w:t>906</w:t>
      </w:r>
      <w:r w:rsidRPr="000A09B6">
        <w:t xml:space="preserve"> ezer forint kiadási főösszeggel zárja. Zárszámadáskor a Roma Nemzetiségi-testület dönt a pénzmaradvány felosztásáról, mely a 20</w:t>
      </w:r>
      <w:r w:rsidR="000A09B6" w:rsidRPr="000A09B6">
        <w:t>20</w:t>
      </w:r>
      <w:r w:rsidRPr="000A09B6">
        <w:t xml:space="preserve">. évben </w:t>
      </w:r>
      <w:r w:rsidR="002155A4" w:rsidRPr="000A09B6">
        <w:t>67</w:t>
      </w:r>
      <w:r w:rsidRPr="000A09B6">
        <w:t xml:space="preserve"> ezer forint.</w:t>
      </w:r>
    </w:p>
    <w:p w14:paraId="41DEAF58" w14:textId="77777777" w:rsidR="00DA16E5" w:rsidRPr="004D6ECC" w:rsidRDefault="00DA16E5" w:rsidP="00D91FA9">
      <w:pPr>
        <w:jc w:val="both"/>
        <w:rPr>
          <w:color w:val="FF0000"/>
        </w:rPr>
      </w:pPr>
    </w:p>
    <w:p w14:paraId="16F9A786" w14:textId="77777777" w:rsidR="006C4157" w:rsidRPr="001D6CE8" w:rsidRDefault="00D91FA9" w:rsidP="006A2D3D">
      <w:pPr>
        <w:jc w:val="both"/>
        <w:rPr>
          <w:b/>
          <w:bCs/>
          <w:u w:val="single"/>
        </w:rPr>
      </w:pPr>
      <w:r w:rsidRPr="001D6CE8">
        <w:rPr>
          <w:b/>
          <w:bCs/>
          <w:u w:val="single"/>
        </w:rPr>
        <w:t>Szakmai oldal:</w:t>
      </w:r>
    </w:p>
    <w:p w14:paraId="029C9062" w14:textId="6D07CDBE" w:rsidR="006C4157" w:rsidRPr="001D6CE8" w:rsidRDefault="001D6CE8" w:rsidP="001D6CE8">
      <w:pPr>
        <w:pStyle w:val="Listaszerbekezds"/>
        <w:numPr>
          <w:ilvl w:val="0"/>
          <w:numId w:val="6"/>
        </w:numPr>
        <w:jc w:val="both"/>
      </w:pPr>
      <w:r w:rsidRPr="001D6CE8">
        <w:t>A Bakonyalja-Kisalföld Kapuja Vidékfejlesztési Egyesület -LEADER rendezvények támogatása című, VP6-19.2.1-8-5-17 kódszámú felhívásra benyújtott 3111645894 iratazonosító számon nyilvántartott kifizetési kérelmüket jóváhagyva megkapt</w:t>
      </w:r>
      <w:r w:rsidR="0044589A">
        <w:t>á</w:t>
      </w:r>
      <w:r w:rsidRPr="001D6CE8">
        <w:t>k a 350.000 forint pályázati támogatást.</w:t>
      </w:r>
    </w:p>
    <w:p w14:paraId="4B5BA4C4" w14:textId="77777777" w:rsidR="00884682" w:rsidRPr="001D6CE8" w:rsidRDefault="00884682" w:rsidP="00884682">
      <w:pPr>
        <w:pStyle w:val="Listaszerbekezds"/>
      </w:pPr>
    </w:p>
    <w:p w14:paraId="15CCD0A5" w14:textId="65184DA2" w:rsidR="00884682" w:rsidRPr="005778EB" w:rsidRDefault="00884682" w:rsidP="00A019B7">
      <w:pPr>
        <w:pStyle w:val="Listaszerbekezds"/>
        <w:numPr>
          <w:ilvl w:val="0"/>
          <w:numId w:val="6"/>
        </w:numPr>
        <w:jc w:val="both"/>
      </w:pPr>
      <w:r w:rsidRPr="001D6CE8">
        <w:t>Ahogy minden évben, 20</w:t>
      </w:r>
      <w:r w:rsidR="001D6CE8" w:rsidRPr="001D6CE8">
        <w:t>20</w:t>
      </w:r>
      <w:r w:rsidRPr="001D6CE8">
        <w:t>-ban is nőnap alkalmából március 8-án is felköszöntötték az Ácsi Polgármesteri Hivatal dolgozóit egy szál virággal</w:t>
      </w:r>
      <w:r w:rsidR="001D6CE8" w:rsidRPr="001D6CE8">
        <w:t>, süteménnyel</w:t>
      </w:r>
      <w:r w:rsidR="00A019B7" w:rsidRPr="001D6CE8">
        <w:t xml:space="preserve"> és Nemzetiségi </w:t>
      </w:r>
      <w:r w:rsidR="00A019B7" w:rsidRPr="005778EB">
        <w:t>táncelőadással, amelyet gyerekek adtak elő.</w:t>
      </w:r>
    </w:p>
    <w:p w14:paraId="6D6D0176" w14:textId="77777777" w:rsidR="0045064B" w:rsidRPr="004D6ECC" w:rsidRDefault="0045064B" w:rsidP="0045064B">
      <w:pPr>
        <w:pStyle w:val="Listaszerbekezds"/>
        <w:rPr>
          <w:color w:val="FF0000"/>
        </w:rPr>
      </w:pPr>
    </w:p>
    <w:p w14:paraId="3D1C128A" w14:textId="6DA19A56" w:rsidR="00215E30" w:rsidRPr="0044589A" w:rsidRDefault="00215E30" w:rsidP="0044589A">
      <w:pPr>
        <w:pStyle w:val="Listaszerbekezds"/>
        <w:numPr>
          <w:ilvl w:val="0"/>
          <w:numId w:val="6"/>
        </w:numPr>
        <w:jc w:val="both"/>
      </w:pPr>
      <w:r w:rsidRPr="0044589A">
        <w:t>Augusztus 15.-én a III. Roma Családi Fesztivált tartott</w:t>
      </w:r>
      <w:r w:rsidR="0044589A" w:rsidRPr="0044589A">
        <w:t>á</w:t>
      </w:r>
      <w:r w:rsidRPr="0044589A">
        <w:t>k meg</w:t>
      </w:r>
      <w:r w:rsidR="0044589A" w:rsidRPr="0044589A">
        <w:t>.</w:t>
      </w:r>
      <w:r w:rsidRPr="0044589A">
        <w:t xml:space="preserve"> A programok változatosra sikerültek. Volt mese olvasás, zenés műsor, roma ételkostoló volt, arcfestés, hi</w:t>
      </w:r>
      <w:r w:rsidR="0044589A" w:rsidRPr="0044589A">
        <w:t>n</w:t>
      </w:r>
      <w:r w:rsidRPr="0044589A">
        <w:t>ták és ugrálók</w:t>
      </w:r>
      <w:r w:rsidR="0044589A" w:rsidRPr="0044589A">
        <w:t>.</w:t>
      </w:r>
    </w:p>
    <w:p w14:paraId="09DDFC90" w14:textId="790006CE" w:rsidR="0045064B" w:rsidRPr="004D6ECC" w:rsidRDefault="0045064B" w:rsidP="0044589A">
      <w:pPr>
        <w:pStyle w:val="Listaszerbekezds"/>
        <w:rPr>
          <w:color w:val="FF0000"/>
        </w:rPr>
      </w:pPr>
    </w:p>
    <w:p w14:paraId="6B8B6E34" w14:textId="5583372B" w:rsidR="001D6668" w:rsidRPr="001D6668" w:rsidRDefault="00FA4AB8" w:rsidP="00AF4058">
      <w:pPr>
        <w:pStyle w:val="Listaszerbekezds"/>
        <w:numPr>
          <w:ilvl w:val="0"/>
          <w:numId w:val="6"/>
        </w:numPr>
        <w:jc w:val="both"/>
        <w:rPr>
          <w:b/>
          <w:bCs/>
        </w:rPr>
      </w:pPr>
      <w:r w:rsidRPr="00AF4058">
        <w:t>December</w:t>
      </w:r>
      <w:r w:rsidR="001D6668">
        <w:t>ben</w:t>
      </w:r>
      <w:r w:rsidRPr="00AF4058">
        <w:t xml:space="preserve"> </w:t>
      </w:r>
      <w:r w:rsidR="00AF4058" w:rsidRPr="00AF4058">
        <w:t xml:space="preserve">a </w:t>
      </w:r>
      <w:r w:rsidRPr="00AF4058">
        <w:t>mikulás</w:t>
      </w:r>
      <w:r w:rsidR="00AF4058" w:rsidRPr="00AF4058">
        <w:t xml:space="preserve"> kiosztotta a </w:t>
      </w:r>
      <w:r w:rsidRPr="00AF4058">
        <w:t>mikuláscsomag</w:t>
      </w:r>
      <w:r w:rsidR="001D6668">
        <w:t>oka</w:t>
      </w:r>
      <w:r w:rsidR="00AF4058" w:rsidRPr="00AF4058">
        <w:t>t</w:t>
      </w:r>
      <w:r w:rsidRPr="00AF4058">
        <w:t xml:space="preserve"> a hátrányos helyzetű gyermekek között</w:t>
      </w:r>
      <w:r w:rsidR="001D6668">
        <w:t>, valamint karácsonykor is kaptak ajándékot</w:t>
      </w:r>
      <w:r w:rsidRPr="00AF4058">
        <w:t>.</w:t>
      </w:r>
    </w:p>
    <w:p w14:paraId="5F0FBF38" w14:textId="77777777" w:rsidR="001D6668" w:rsidRDefault="001D6668" w:rsidP="001D6668">
      <w:pPr>
        <w:pStyle w:val="Listaszerbekezds"/>
      </w:pPr>
    </w:p>
    <w:p w14:paraId="04565BF4" w14:textId="23D25290" w:rsidR="006B3D22" w:rsidRPr="001D6668" w:rsidRDefault="00FA4AB8" w:rsidP="00AF4058">
      <w:pPr>
        <w:pStyle w:val="Listaszerbekezds"/>
        <w:numPr>
          <w:ilvl w:val="0"/>
          <w:numId w:val="6"/>
        </w:numPr>
        <w:jc w:val="both"/>
        <w:rPr>
          <w:b/>
          <w:bCs/>
        </w:rPr>
      </w:pPr>
      <w:r w:rsidRPr="00AF4058">
        <w:t xml:space="preserve"> </w:t>
      </w:r>
      <w:r w:rsidR="001D6668">
        <w:t xml:space="preserve">A </w:t>
      </w:r>
      <w:proofErr w:type="spellStart"/>
      <w:r w:rsidR="001D6668">
        <w:t>pandémiás</w:t>
      </w:r>
      <w:proofErr w:type="spellEnd"/>
      <w:r w:rsidR="001D6668">
        <w:t xml:space="preserve"> helyzetben a vírusfertőzöttroma roma lakosokat folyamatosan segítették bevásárlással, gyógyszer kiváltásával.</w:t>
      </w:r>
    </w:p>
    <w:p w14:paraId="26B7ABCD" w14:textId="77777777" w:rsidR="001D6668" w:rsidRPr="001D6668" w:rsidRDefault="001D6668" w:rsidP="001D6668">
      <w:pPr>
        <w:pStyle w:val="Listaszerbekezds"/>
        <w:rPr>
          <w:b/>
          <w:bCs/>
        </w:rPr>
      </w:pPr>
    </w:p>
    <w:p w14:paraId="56B63262" w14:textId="3757C343" w:rsidR="001D6668" w:rsidRDefault="001D6668" w:rsidP="00AF4058">
      <w:pPr>
        <w:pStyle w:val="Listaszerbekezds"/>
        <w:numPr>
          <w:ilvl w:val="0"/>
          <w:numId w:val="6"/>
        </w:numPr>
        <w:jc w:val="both"/>
      </w:pPr>
      <w:r w:rsidRPr="001D6668">
        <w:t>A</w:t>
      </w:r>
      <w:r>
        <w:t xml:space="preserve"> covid-19 elleni védőoltást igénylőknél segítenek folyamatosan a regisztrációban és az oltáshoz szükséges hozzájárulási nyilatkozat kitöltésében.</w:t>
      </w:r>
    </w:p>
    <w:p w14:paraId="12BFD509" w14:textId="77777777" w:rsidR="001D6668" w:rsidRDefault="001D6668" w:rsidP="001D6668">
      <w:pPr>
        <w:pStyle w:val="Listaszerbekezds"/>
      </w:pPr>
    </w:p>
    <w:p w14:paraId="3CEAB21D" w14:textId="5F4BA278" w:rsidR="001D6668" w:rsidRDefault="001D6668" w:rsidP="00AF4058">
      <w:pPr>
        <w:pStyle w:val="Listaszerbekezds"/>
        <w:numPr>
          <w:ilvl w:val="0"/>
          <w:numId w:val="6"/>
        </w:numPr>
        <w:jc w:val="both"/>
      </w:pPr>
      <w:r>
        <w:t xml:space="preserve">A ruhaadományok gyűjtése egész évben folyamatos. Mosás és fertőtlenítés után a </w:t>
      </w:r>
      <w:r>
        <w:lastRenderedPageBreak/>
        <w:t>rászoruló roma családok részére továbbítják.</w:t>
      </w:r>
    </w:p>
    <w:p w14:paraId="14B0B009" w14:textId="77777777" w:rsidR="002D6545" w:rsidRDefault="002D6545" w:rsidP="002D6545">
      <w:pPr>
        <w:pStyle w:val="Listaszerbekezds"/>
      </w:pPr>
    </w:p>
    <w:p w14:paraId="584B0BBE" w14:textId="0C8229D1" w:rsidR="006A2D3D" w:rsidRPr="004B4186" w:rsidRDefault="00D91FA9" w:rsidP="00D91FA9">
      <w:pPr>
        <w:jc w:val="both"/>
        <w:rPr>
          <w:b/>
          <w:bCs/>
        </w:rPr>
      </w:pPr>
      <w:r w:rsidRPr="00AF4058">
        <w:rPr>
          <w:b/>
          <w:bCs/>
        </w:rPr>
        <w:t xml:space="preserve">Ács, </w:t>
      </w:r>
      <w:r w:rsidR="00DA16E5" w:rsidRPr="00AF4058">
        <w:rPr>
          <w:b/>
          <w:bCs/>
        </w:rPr>
        <w:t>20</w:t>
      </w:r>
      <w:r w:rsidR="002155A4" w:rsidRPr="00AF4058">
        <w:rPr>
          <w:b/>
          <w:bCs/>
        </w:rPr>
        <w:t>2</w:t>
      </w:r>
      <w:r w:rsidR="00CB7627" w:rsidRPr="00AF4058">
        <w:rPr>
          <w:b/>
          <w:bCs/>
        </w:rPr>
        <w:t>1</w:t>
      </w:r>
      <w:r w:rsidR="002155A4" w:rsidRPr="00AF4058">
        <w:rPr>
          <w:b/>
          <w:bCs/>
        </w:rPr>
        <w:t>.</w:t>
      </w:r>
      <w:r w:rsidR="00CB7627" w:rsidRPr="00AF4058">
        <w:rPr>
          <w:b/>
          <w:bCs/>
        </w:rPr>
        <w:t xml:space="preserve"> április 14</w:t>
      </w:r>
      <w:r w:rsidR="002155A4" w:rsidRPr="00AF4058">
        <w:rPr>
          <w:b/>
          <w:bCs/>
        </w:rPr>
        <w:t>.</w:t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</w:p>
    <w:p w14:paraId="520E6E7C" w14:textId="60702D9C" w:rsidR="006A2D3D" w:rsidRDefault="006A2D3D" w:rsidP="00D91FA9">
      <w:pPr>
        <w:jc w:val="both"/>
        <w:rPr>
          <w:b/>
          <w:bCs/>
        </w:rPr>
      </w:pPr>
    </w:p>
    <w:p w14:paraId="4A92A139" w14:textId="77777777" w:rsidR="006F4476" w:rsidRPr="004B4186" w:rsidRDefault="006F4476" w:rsidP="00D91FA9">
      <w:pPr>
        <w:jc w:val="both"/>
        <w:rPr>
          <w:b/>
          <w:bCs/>
        </w:rPr>
      </w:pPr>
    </w:p>
    <w:p w14:paraId="0EB17932" w14:textId="77777777" w:rsidR="00D91FA9" w:rsidRPr="004B4186" w:rsidRDefault="006A2D3D" w:rsidP="006A2D3D">
      <w:pPr>
        <w:ind w:left="6372"/>
        <w:jc w:val="both"/>
        <w:rPr>
          <w:b/>
          <w:bCs/>
        </w:rPr>
      </w:pPr>
      <w:r w:rsidRPr="004B4186">
        <w:rPr>
          <w:b/>
          <w:bCs/>
        </w:rPr>
        <w:t xml:space="preserve">     </w:t>
      </w:r>
      <w:r w:rsidR="00D91FA9" w:rsidRPr="004B4186">
        <w:rPr>
          <w:b/>
          <w:bCs/>
        </w:rPr>
        <w:t>Markó Renáta</w:t>
      </w:r>
    </w:p>
    <w:p w14:paraId="49832717" w14:textId="763FE298" w:rsidR="00D91FA9" w:rsidRDefault="00D91FA9" w:rsidP="00D91FA9">
      <w:pPr>
        <w:jc w:val="both"/>
        <w:rPr>
          <w:b/>
          <w:bCs/>
        </w:rPr>
      </w:pP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  <w:t>roma nemzetiségi elnök</w:t>
      </w:r>
    </w:p>
    <w:p w14:paraId="0BE4C7B9" w14:textId="62CECA43" w:rsidR="006F4476" w:rsidRDefault="006F4476" w:rsidP="00D91FA9">
      <w:pPr>
        <w:jc w:val="both"/>
        <w:rPr>
          <w:b/>
          <w:bCs/>
        </w:rPr>
      </w:pPr>
    </w:p>
    <w:p w14:paraId="3232662D" w14:textId="77777777" w:rsidR="006F4476" w:rsidRPr="004B4186" w:rsidRDefault="006F4476" w:rsidP="00D91FA9">
      <w:pPr>
        <w:jc w:val="both"/>
        <w:rPr>
          <w:b/>
          <w:bCs/>
        </w:rPr>
      </w:pPr>
    </w:p>
    <w:p w14:paraId="0FD96674" w14:textId="77777777" w:rsidR="00D91FA9" w:rsidRPr="004B4186" w:rsidRDefault="00D91FA9" w:rsidP="00D91FA9">
      <w:pPr>
        <w:jc w:val="center"/>
        <w:rPr>
          <w:b/>
          <w:bCs/>
          <w:spacing w:val="20"/>
          <w:u w:val="single"/>
        </w:rPr>
      </w:pPr>
      <w:r w:rsidRPr="004B4186">
        <w:rPr>
          <w:b/>
          <w:bCs/>
          <w:spacing w:val="20"/>
          <w:u w:val="single"/>
        </w:rPr>
        <w:t>HATÁROZATI JAVASLAT</w:t>
      </w:r>
    </w:p>
    <w:p w14:paraId="223C16CF" w14:textId="77777777" w:rsidR="00D91FA9" w:rsidRPr="004B4186" w:rsidRDefault="00D91FA9" w:rsidP="00D91FA9">
      <w:pPr>
        <w:jc w:val="center"/>
        <w:rPr>
          <w:b/>
          <w:bCs/>
          <w:u w:val="single"/>
        </w:rPr>
      </w:pPr>
    </w:p>
    <w:p w14:paraId="7643C32F" w14:textId="77777777" w:rsidR="00D91FA9" w:rsidRPr="004B4186" w:rsidRDefault="00D91FA9" w:rsidP="00D91FA9">
      <w:pPr>
        <w:jc w:val="center"/>
        <w:rPr>
          <w:b/>
          <w:bCs/>
          <w:u w:val="single"/>
        </w:rPr>
      </w:pPr>
    </w:p>
    <w:p w14:paraId="20A3E6ED" w14:textId="711EA98E" w:rsidR="00D91FA9" w:rsidRPr="004B4186" w:rsidRDefault="00D91FA9" w:rsidP="00D91FA9">
      <w:pPr>
        <w:jc w:val="center"/>
        <w:rPr>
          <w:b/>
          <w:bCs/>
          <w:u w:val="single"/>
        </w:rPr>
      </w:pPr>
      <w:r w:rsidRPr="004B4186">
        <w:rPr>
          <w:b/>
          <w:bCs/>
          <w:u w:val="single"/>
        </w:rPr>
        <w:t>…/20</w:t>
      </w:r>
      <w:r w:rsidR="002155A4" w:rsidRPr="004B4186">
        <w:rPr>
          <w:b/>
          <w:bCs/>
          <w:u w:val="single"/>
        </w:rPr>
        <w:t>2</w:t>
      </w:r>
      <w:r w:rsidR="004B4186" w:rsidRPr="004B4186">
        <w:rPr>
          <w:b/>
          <w:bCs/>
          <w:u w:val="single"/>
        </w:rPr>
        <w:t>1</w:t>
      </w:r>
      <w:r w:rsidRPr="004B4186">
        <w:rPr>
          <w:b/>
          <w:bCs/>
          <w:u w:val="single"/>
        </w:rPr>
        <w:t>.(</w:t>
      </w:r>
      <w:r w:rsidR="004B4186" w:rsidRPr="004B4186">
        <w:rPr>
          <w:b/>
          <w:bCs/>
          <w:u w:val="single"/>
        </w:rPr>
        <w:t>I</w:t>
      </w:r>
      <w:r w:rsidR="00DA16E5" w:rsidRPr="004B4186">
        <w:rPr>
          <w:b/>
          <w:bCs/>
          <w:u w:val="single"/>
        </w:rPr>
        <w:t>V</w:t>
      </w:r>
      <w:proofErr w:type="gramStart"/>
      <w:r w:rsidR="00C5490B" w:rsidRPr="004B4186">
        <w:rPr>
          <w:b/>
          <w:bCs/>
          <w:u w:val="single"/>
        </w:rPr>
        <w:t>…..</w:t>
      </w:r>
      <w:proofErr w:type="gramEnd"/>
      <w:r w:rsidRPr="004B4186">
        <w:rPr>
          <w:b/>
          <w:bCs/>
          <w:u w:val="single"/>
        </w:rPr>
        <w:t>)</w:t>
      </w:r>
    </w:p>
    <w:p w14:paraId="4ADEC785" w14:textId="77777777" w:rsidR="00D91FA9" w:rsidRPr="004D6ECC" w:rsidRDefault="00D91FA9" w:rsidP="00D91FA9">
      <w:pPr>
        <w:jc w:val="center"/>
        <w:rPr>
          <w:b/>
          <w:bCs/>
          <w:color w:val="FF0000"/>
          <w:u w:val="single"/>
        </w:rPr>
      </w:pPr>
    </w:p>
    <w:p w14:paraId="6DC4B95D" w14:textId="110EAB78" w:rsidR="00AF36BF" w:rsidRPr="00AF36BF" w:rsidRDefault="00AF36BF" w:rsidP="004B4186">
      <w:pPr>
        <w:widowControl/>
        <w:suppressAutoHyphens w:val="0"/>
        <w:jc w:val="both"/>
        <w:rPr>
          <w:b/>
          <w:kern w:val="0"/>
          <w:lang w:eastAsia="hu-HU"/>
        </w:rPr>
      </w:pPr>
      <w:r w:rsidRPr="00AF36BF">
        <w:rPr>
          <w:b/>
          <w:kern w:val="0"/>
          <w:lang w:eastAsia="hu-HU"/>
        </w:rPr>
        <w:t xml:space="preserve">Ács Város Roma Nemzetiségi Önkormányzat elnöke a </w:t>
      </w:r>
      <w:r w:rsidRPr="003603B3">
        <w:rPr>
          <w:b/>
          <w:color w:val="000000" w:themeColor="text1"/>
        </w:rPr>
        <w:t>27/2021.(I.29.)</w:t>
      </w:r>
      <w:r w:rsidRPr="00506045">
        <w:rPr>
          <w:bCs/>
        </w:rPr>
        <w:t xml:space="preserve"> </w:t>
      </w:r>
      <w:r w:rsidRPr="00AF36BF">
        <w:rPr>
          <w:b/>
          <w:kern w:val="0"/>
          <w:lang w:eastAsia="hu-HU"/>
        </w:rPr>
        <w:t xml:space="preserve">Kormányrendelet 1.§-a szerint kihirdetett veszélyhelyzetben, a </w:t>
      </w:r>
      <w:proofErr w:type="spellStart"/>
      <w:r w:rsidRPr="00AF36BF">
        <w:rPr>
          <w:b/>
          <w:kern w:val="0"/>
          <w:lang w:eastAsia="hu-HU"/>
        </w:rPr>
        <w:t>Kattv</w:t>
      </w:r>
      <w:proofErr w:type="spellEnd"/>
      <w:r w:rsidRPr="00AF36BF">
        <w:rPr>
          <w:b/>
          <w:kern w:val="0"/>
          <w:lang w:eastAsia="hu-HU"/>
        </w:rPr>
        <w:t xml:space="preserve">. 46.§ (4) bekezdése foglalt felhatalmazás alapján az alábbi határozatot hozta: </w:t>
      </w:r>
    </w:p>
    <w:p w14:paraId="2F0816D4" w14:textId="77777777" w:rsidR="00AF36BF" w:rsidRPr="00AF36BF" w:rsidRDefault="00AF36BF" w:rsidP="004B4186">
      <w:pPr>
        <w:widowControl/>
        <w:suppressAutoHyphens w:val="0"/>
        <w:jc w:val="both"/>
        <w:rPr>
          <w:b/>
          <w:kern w:val="0"/>
          <w:lang w:eastAsia="hu-HU"/>
        </w:rPr>
      </w:pPr>
    </w:p>
    <w:p w14:paraId="6460882C" w14:textId="008F6AA6" w:rsidR="00AF36BF" w:rsidRPr="00AF36BF" w:rsidRDefault="00AF36BF" w:rsidP="004B4186">
      <w:pPr>
        <w:widowControl/>
        <w:suppressAutoHyphens w:val="0"/>
        <w:jc w:val="both"/>
        <w:rPr>
          <w:b/>
          <w:kern w:val="0"/>
          <w:lang w:eastAsia="hu-HU"/>
        </w:rPr>
      </w:pPr>
      <w:r w:rsidRPr="00AF36BF">
        <w:rPr>
          <w:b/>
          <w:kern w:val="0"/>
          <w:lang w:eastAsia="hu-HU"/>
        </w:rPr>
        <w:t>Ács Város Roma Nemzetiségi Önkormányzat Képviselő-testülete a 202</w:t>
      </w:r>
      <w:r w:rsidR="003603B3">
        <w:rPr>
          <w:b/>
          <w:kern w:val="0"/>
          <w:lang w:eastAsia="hu-HU"/>
        </w:rPr>
        <w:t>0</w:t>
      </w:r>
      <w:r w:rsidRPr="00AF36BF">
        <w:rPr>
          <w:b/>
          <w:kern w:val="0"/>
          <w:lang w:eastAsia="hu-HU"/>
        </w:rPr>
        <w:t xml:space="preserve">. évi </w:t>
      </w:r>
      <w:r w:rsidR="003603B3" w:rsidRPr="003603B3">
        <w:rPr>
          <w:b/>
          <w:bCs/>
        </w:rPr>
        <w:t>zárszámadásról szóló beszámolót</w:t>
      </w:r>
      <w:r w:rsidRPr="003603B3">
        <w:rPr>
          <w:b/>
          <w:kern w:val="0"/>
          <w:lang w:eastAsia="hu-HU"/>
        </w:rPr>
        <w:t xml:space="preserve"> </w:t>
      </w:r>
      <w:r w:rsidRPr="00AF36BF">
        <w:rPr>
          <w:b/>
          <w:kern w:val="0"/>
          <w:lang w:eastAsia="hu-HU"/>
        </w:rPr>
        <w:t>az alábbiak szerint fogadta el:</w:t>
      </w:r>
    </w:p>
    <w:p w14:paraId="31EB413A" w14:textId="77777777" w:rsidR="00AF36BF" w:rsidRDefault="00AF36BF" w:rsidP="00D91FA9">
      <w:pPr>
        <w:jc w:val="both"/>
        <w:rPr>
          <w:b/>
          <w:bCs/>
          <w:color w:val="FF0000"/>
        </w:rPr>
      </w:pPr>
    </w:p>
    <w:p w14:paraId="3DFD9DAA" w14:textId="4AB4CBD6" w:rsidR="001B2F43" w:rsidRPr="00842FD9" w:rsidRDefault="002155A4" w:rsidP="003936A4">
      <w:pPr>
        <w:jc w:val="both"/>
        <w:rPr>
          <w:b/>
          <w:bCs/>
        </w:rPr>
      </w:pPr>
      <w:r w:rsidRPr="00842FD9">
        <w:rPr>
          <w:b/>
          <w:bCs/>
        </w:rPr>
        <w:t>3.</w:t>
      </w:r>
      <w:r w:rsidR="003603B3" w:rsidRPr="00842FD9">
        <w:rPr>
          <w:b/>
          <w:bCs/>
        </w:rPr>
        <w:t>932</w:t>
      </w:r>
      <w:r w:rsidRPr="00842FD9">
        <w:rPr>
          <w:b/>
          <w:bCs/>
        </w:rPr>
        <w:t xml:space="preserve"> ezer forint bevételi főösszeggel és 3.</w:t>
      </w:r>
      <w:r w:rsidR="003603B3" w:rsidRPr="00842FD9">
        <w:rPr>
          <w:b/>
          <w:bCs/>
        </w:rPr>
        <w:t>906</w:t>
      </w:r>
      <w:r w:rsidRPr="00842FD9">
        <w:rPr>
          <w:b/>
          <w:bCs/>
        </w:rPr>
        <w:t xml:space="preserve"> ezer forint kiadási főösszeggel. A pénzmaradvány 20</w:t>
      </w:r>
      <w:r w:rsidR="003603B3" w:rsidRPr="00842FD9">
        <w:rPr>
          <w:b/>
          <w:bCs/>
        </w:rPr>
        <w:t>20</w:t>
      </w:r>
      <w:r w:rsidRPr="00842FD9">
        <w:rPr>
          <w:b/>
          <w:bCs/>
        </w:rPr>
        <w:t xml:space="preserve">. évben </w:t>
      </w:r>
      <w:r w:rsidR="003603B3" w:rsidRPr="00842FD9">
        <w:rPr>
          <w:b/>
          <w:bCs/>
        </w:rPr>
        <w:t>26</w:t>
      </w:r>
      <w:r w:rsidRPr="00842FD9">
        <w:rPr>
          <w:b/>
          <w:bCs/>
        </w:rPr>
        <w:t xml:space="preserve"> ezer forint, ebből szabad pénzmaradvány </w:t>
      </w:r>
      <w:r w:rsidR="003603B3" w:rsidRPr="00842FD9">
        <w:rPr>
          <w:b/>
          <w:bCs/>
        </w:rPr>
        <w:t>12</w:t>
      </w:r>
      <w:r w:rsidRPr="00842FD9">
        <w:rPr>
          <w:b/>
          <w:bCs/>
        </w:rPr>
        <w:t xml:space="preserve"> ezer forint.</w:t>
      </w:r>
    </w:p>
    <w:p w14:paraId="4596479E" w14:textId="77777777" w:rsidR="002155A4" w:rsidRPr="00842FD9" w:rsidRDefault="002155A4" w:rsidP="003936A4">
      <w:pPr>
        <w:jc w:val="both"/>
        <w:rPr>
          <w:b/>
          <w:bCs/>
        </w:rPr>
      </w:pPr>
    </w:p>
    <w:p w14:paraId="31464F77" w14:textId="77777777" w:rsidR="00D91FA9" w:rsidRPr="00842FD9" w:rsidRDefault="003936A4" w:rsidP="003936A4">
      <w:pPr>
        <w:jc w:val="both"/>
        <w:rPr>
          <w:b/>
          <w:bCs/>
        </w:rPr>
      </w:pPr>
      <w:r w:rsidRPr="00842FD9">
        <w:rPr>
          <w:b/>
          <w:bCs/>
        </w:rPr>
        <w:t>A határozat mellékletét képezi:</w:t>
      </w:r>
    </w:p>
    <w:p w14:paraId="7163649D" w14:textId="77777777" w:rsidR="003936A4" w:rsidRPr="00842FD9" w:rsidRDefault="003936A4" w:rsidP="003936A4">
      <w:pPr>
        <w:jc w:val="both"/>
        <w:rPr>
          <w:b/>
          <w:bCs/>
        </w:rPr>
      </w:pPr>
    </w:p>
    <w:p w14:paraId="0D17D9D1" w14:textId="77777777" w:rsidR="003936A4" w:rsidRPr="00842FD9" w:rsidRDefault="003936A4" w:rsidP="003936A4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1. melléklet költségvetési </w:t>
      </w:r>
      <w:r w:rsidR="00667B02" w:rsidRPr="00842FD9">
        <w:rPr>
          <w:b/>
          <w:bCs/>
        </w:rPr>
        <w:t>mérleg közigazgatási tagolásban</w:t>
      </w:r>
    </w:p>
    <w:p w14:paraId="670BE74A" w14:textId="77777777" w:rsidR="00667B02" w:rsidRPr="00842FD9" w:rsidRDefault="00667B02" w:rsidP="003936A4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2. melléklet az önkormányzat kiadásai</w:t>
      </w:r>
    </w:p>
    <w:p w14:paraId="4EB4DCD8" w14:textId="79740ADE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3.</w:t>
      </w:r>
      <w:r w:rsidR="00842FD9" w:rsidRPr="00842FD9">
        <w:rPr>
          <w:b/>
          <w:bCs/>
        </w:rPr>
        <w:t xml:space="preserve"> </w:t>
      </w:r>
      <w:r w:rsidRPr="00842FD9">
        <w:rPr>
          <w:b/>
          <w:bCs/>
        </w:rPr>
        <w:t>melléklet az önkormányzat 20</w:t>
      </w:r>
      <w:r w:rsidR="00842FD9" w:rsidRPr="00842FD9">
        <w:rPr>
          <w:b/>
          <w:bCs/>
        </w:rPr>
        <w:t>20</w:t>
      </w:r>
      <w:r w:rsidRPr="00842FD9">
        <w:rPr>
          <w:b/>
          <w:bCs/>
        </w:rPr>
        <w:t>. évi költségvetési bevételei.</w:t>
      </w:r>
    </w:p>
    <w:p w14:paraId="0B8937F1" w14:textId="77777777" w:rsidR="00DA16E5" w:rsidRPr="00842FD9" w:rsidRDefault="00DA16E5" w:rsidP="003B417E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4. melléklet </w:t>
      </w:r>
      <w:r w:rsidR="00A50F65" w:rsidRPr="00842FD9">
        <w:rPr>
          <w:b/>
          <w:bCs/>
        </w:rPr>
        <w:t>Nullára leírt, de használatban lévő eszközök állománya</w:t>
      </w:r>
      <w:r w:rsidRPr="00842FD9">
        <w:rPr>
          <w:b/>
          <w:bCs/>
        </w:rPr>
        <w:t xml:space="preserve"> </w:t>
      </w:r>
    </w:p>
    <w:p w14:paraId="2A33DA7D" w14:textId="7777777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5. melléklet felhalmozási költségvetés</w:t>
      </w:r>
    </w:p>
    <w:p w14:paraId="2251C142" w14:textId="7777777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6. melléklet működési költségvetés</w:t>
      </w:r>
    </w:p>
    <w:p w14:paraId="356FBE45" w14:textId="7777777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7. melléklet maradvány kimutatás</w:t>
      </w:r>
    </w:p>
    <w:p w14:paraId="1AE326E0" w14:textId="46DE4CB2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8. melléklet </w:t>
      </w:r>
      <w:r w:rsidR="00842FD9" w:rsidRPr="00842FD9">
        <w:rPr>
          <w:b/>
          <w:bCs/>
        </w:rPr>
        <w:t>a R</w:t>
      </w:r>
      <w:r w:rsidRPr="00842FD9">
        <w:rPr>
          <w:b/>
          <w:bCs/>
        </w:rPr>
        <w:t xml:space="preserve">oma </w:t>
      </w:r>
      <w:r w:rsidR="00842FD9" w:rsidRPr="00842FD9">
        <w:rPr>
          <w:b/>
          <w:bCs/>
        </w:rPr>
        <w:t>N</w:t>
      </w:r>
      <w:r w:rsidRPr="00842FD9">
        <w:rPr>
          <w:b/>
          <w:bCs/>
        </w:rPr>
        <w:t xml:space="preserve">emzetiségi </w:t>
      </w:r>
      <w:r w:rsidR="00842FD9" w:rsidRPr="00842FD9">
        <w:rPr>
          <w:b/>
          <w:bCs/>
        </w:rPr>
        <w:t>Ö</w:t>
      </w:r>
      <w:r w:rsidRPr="00842FD9">
        <w:rPr>
          <w:b/>
          <w:bCs/>
        </w:rPr>
        <w:t>nkormányzat mérlege</w:t>
      </w:r>
    </w:p>
    <w:p w14:paraId="17570FA2" w14:textId="62A29D9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9. melléklet </w:t>
      </w:r>
      <w:bookmarkStart w:id="1" w:name="_Hlk69287079"/>
      <w:r w:rsidR="00842FD9" w:rsidRPr="00842FD9">
        <w:rPr>
          <w:b/>
          <w:bCs/>
        </w:rPr>
        <w:t xml:space="preserve">a Roma Nemzetiségi Önkormányzat </w:t>
      </w:r>
      <w:bookmarkEnd w:id="1"/>
      <w:r w:rsidRPr="00842FD9">
        <w:rPr>
          <w:b/>
          <w:bCs/>
        </w:rPr>
        <w:t>eredmény kimutatása</w:t>
      </w:r>
    </w:p>
    <w:p w14:paraId="01FF6C6F" w14:textId="434E4FDE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10.melléklet </w:t>
      </w:r>
      <w:r w:rsidR="00842FD9" w:rsidRPr="00842FD9">
        <w:rPr>
          <w:b/>
          <w:bCs/>
        </w:rPr>
        <w:t xml:space="preserve">a Roma Nemzetiségi Önkormányzat </w:t>
      </w:r>
      <w:r w:rsidRPr="00842FD9">
        <w:rPr>
          <w:b/>
          <w:bCs/>
        </w:rPr>
        <w:t xml:space="preserve">összesen pénzeszközök változásának bemutatása </w:t>
      </w:r>
    </w:p>
    <w:p w14:paraId="2E5ADCF4" w14:textId="33BD1DC7" w:rsidR="00842FD9" w:rsidRPr="00842FD9" w:rsidRDefault="00842FD9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11.melléklet a beruházások kimutatása</w:t>
      </w:r>
    </w:p>
    <w:p w14:paraId="3EEF82BD" w14:textId="7777777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Nemleges mellékletek:</w:t>
      </w:r>
    </w:p>
    <w:p w14:paraId="05777125" w14:textId="5C479E69" w:rsidR="00DA16E5" w:rsidRPr="00842FD9" w:rsidRDefault="00DA16E5" w:rsidP="00DA16E5">
      <w:pPr>
        <w:ind w:left="360"/>
        <w:jc w:val="both"/>
        <w:rPr>
          <w:b/>
          <w:bCs/>
        </w:rPr>
      </w:pPr>
      <w:r w:rsidRPr="00842FD9">
        <w:rPr>
          <w:b/>
          <w:bCs/>
        </w:rPr>
        <w:t xml:space="preserve">Elkülönítetten az európai Uniós forrásból finanszírozott támogatással megvalósuló programok, projektek melléklete, </w:t>
      </w:r>
      <w:r w:rsidR="00A50F65" w:rsidRPr="00842FD9">
        <w:rPr>
          <w:b/>
          <w:bCs/>
        </w:rPr>
        <w:t>H</w:t>
      </w:r>
      <w:r w:rsidRPr="00842FD9">
        <w:rPr>
          <w:b/>
          <w:bCs/>
        </w:rPr>
        <w:t>itelállomány 20</w:t>
      </w:r>
      <w:r w:rsidR="00842FD9" w:rsidRPr="00842FD9">
        <w:rPr>
          <w:b/>
          <w:bCs/>
        </w:rPr>
        <w:t>20</w:t>
      </w:r>
      <w:r w:rsidRPr="00842FD9">
        <w:rPr>
          <w:b/>
          <w:bCs/>
        </w:rPr>
        <w:t xml:space="preserve">. december 31., </w:t>
      </w:r>
      <w:r w:rsidR="00A50F65" w:rsidRPr="00842FD9">
        <w:rPr>
          <w:b/>
          <w:bCs/>
        </w:rPr>
        <w:t>T</w:t>
      </w:r>
      <w:r w:rsidRPr="00842FD9">
        <w:rPr>
          <w:b/>
          <w:bCs/>
        </w:rPr>
        <w:t xml:space="preserve">öbb éves kihatással járó döntések, Ács Város Roma Nemzetiségi Önkormányzat tulajdonában álló gazdálkodó szervezetek működéséből származó kötelezettségek, </w:t>
      </w:r>
      <w:r w:rsidR="00A50F65" w:rsidRPr="00842FD9">
        <w:rPr>
          <w:b/>
          <w:bCs/>
        </w:rPr>
        <w:t>A</w:t>
      </w:r>
      <w:r w:rsidRPr="00842FD9">
        <w:rPr>
          <w:b/>
          <w:bCs/>
        </w:rPr>
        <w:t>z önkormányzat által 20</w:t>
      </w:r>
      <w:r w:rsidR="00842FD9" w:rsidRPr="00842FD9">
        <w:rPr>
          <w:b/>
          <w:bCs/>
        </w:rPr>
        <w:t>20</w:t>
      </w:r>
      <w:r w:rsidRPr="00842FD9">
        <w:rPr>
          <w:b/>
          <w:bCs/>
        </w:rPr>
        <w:t xml:space="preserve">. évben adott közvetett támogatások és a vagyonkataszter. </w:t>
      </w:r>
    </w:p>
    <w:p w14:paraId="523C52CF" w14:textId="77777777" w:rsidR="00DA16E5" w:rsidRPr="00842FD9" w:rsidRDefault="00DA16E5" w:rsidP="00DA16E5">
      <w:pPr>
        <w:ind w:left="360"/>
        <w:jc w:val="both"/>
        <w:rPr>
          <w:bCs/>
        </w:rPr>
      </w:pPr>
    </w:p>
    <w:p w14:paraId="6F41BC24" w14:textId="77777777" w:rsidR="00D91FA9" w:rsidRPr="00842FD9" w:rsidRDefault="00D91FA9" w:rsidP="00D91FA9">
      <w:pPr>
        <w:jc w:val="both"/>
        <w:rPr>
          <w:b/>
          <w:bCs/>
        </w:rPr>
      </w:pPr>
      <w:r w:rsidRPr="00842FD9">
        <w:rPr>
          <w:b/>
          <w:bCs/>
        </w:rPr>
        <w:t>Felelős: Markó Renáta Roma Nemzetiségi Önkormányzat elnök</w:t>
      </w:r>
    </w:p>
    <w:p w14:paraId="47DBB554" w14:textId="77777777" w:rsidR="00772AD8" w:rsidRPr="00842FD9" w:rsidRDefault="00D91FA9" w:rsidP="00027B2A">
      <w:pPr>
        <w:jc w:val="both"/>
        <w:rPr>
          <w:b/>
          <w:bCs/>
        </w:rPr>
      </w:pPr>
      <w:proofErr w:type="gramStart"/>
      <w:r w:rsidRPr="00842FD9">
        <w:rPr>
          <w:b/>
          <w:bCs/>
        </w:rPr>
        <w:t>Határidő :</w:t>
      </w:r>
      <w:proofErr w:type="gramEnd"/>
      <w:r w:rsidRPr="00842FD9">
        <w:rPr>
          <w:b/>
          <w:bCs/>
        </w:rPr>
        <w:t xml:space="preserve"> azonnal</w:t>
      </w:r>
    </w:p>
    <w:sectPr w:rsidR="00772AD8" w:rsidRPr="00842FD9" w:rsidSect="00D91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24A90"/>
    <w:multiLevelType w:val="hybridMultilevel"/>
    <w:tmpl w:val="717C0A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339E3"/>
    <w:multiLevelType w:val="hybridMultilevel"/>
    <w:tmpl w:val="B9BCFFC6"/>
    <w:lvl w:ilvl="0" w:tplc="E2F0A392">
      <w:start w:val="1"/>
      <w:numFmt w:val="decimal"/>
      <w:lvlText w:val="%1."/>
      <w:lvlJc w:val="left"/>
      <w:pPr>
        <w:ind w:left="33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36A4635A"/>
    <w:multiLevelType w:val="hybridMultilevel"/>
    <w:tmpl w:val="CA0A7D04"/>
    <w:lvl w:ilvl="0" w:tplc="CE02B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27F43"/>
    <w:multiLevelType w:val="hybridMultilevel"/>
    <w:tmpl w:val="8D5EC8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309A9"/>
    <w:multiLevelType w:val="hybridMultilevel"/>
    <w:tmpl w:val="6ED2F3F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A7F7F"/>
    <w:multiLevelType w:val="hybridMultilevel"/>
    <w:tmpl w:val="0EE02DB2"/>
    <w:lvl w:ilvl="0" w:tplc="040E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6" w15:restartNumberingAfterBreak="0">
    <w:nsid w:val="6A4D48F2"/>
    <w:multiLevelType w:val="hybridMultilevel"/>
    <w:tmpl w:val="E842B2E2"/>
    <w:lvl w:ilvl="0" w:tplc="040E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74175B36"/>
    <w:multiLevelType w:val="hybridMultilevel"/>
    <w:tmpl w:val="DB7016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759F7"/>
    <w:multiLevelType w:val="hybridMultilevel"/>
    <w:tmpl w:val="CAB40EB0"/>
    <w:lvl w:ilvl="0" w:tplc="01185CA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FA9"/>
    <w:rsid w:val="00016573"/>
    <w:rsid w:val="00027B2A"/>
    <w:rsid w:val="000334AA"/>
    <w:rsid w:val="0004523E"/>
    <w:rsid w:val="00064627"/>
    <w:rsid w:val="000A09B6"/>
    <w:rsid w:val="001579D3"/>
    <w:rsid w:val="001A0FA3"/>
    <w:rsid w:val="001B2F43"/>
    <w:rsid w:val="001D22FE"/>
    <w:rsid w:val="001D6668"/>
    <w:rsid w:val="001D6CE8"/>
    <w:rsid w:val="002155A4"/>
    <w:rsid w:val="00215E30"/>
    <w:rsid w:val="00230446"/>
    <w:rsid w:val="00262043"/>
    <w:rsid w:val="0027618B"/>
    <w:rsid w:val="002B0732"/>
    <w:rsid w:val="002B193E"/>
    <w:rsid w:val="002D6545"/>
    <w:rsid w:val="002E079A"/>
    <w:rsid w:val="00316E8E"/>
    <w:rsid w:val="0031721F"/>
    <w:rsid w:val="00323144"/>
    <w:rsid w:val="00341DC9"/>
    <w:rsid w:val="003603B3"/>
    <w:rsid w:val="00392FE1"/>
    <w:rsid w:val="003936A4"/>
    <w:rsid w:val="003B7DDE"/>
    <w:rsid w:val="003C26E1"/>
    <w:rsid w:val="004448AF"/>
    <w:rsid w:val="0044589A"/>
    <w:rsid w:val="0045064B"/>
    <w:rsid w:val="0047582C"/>
    <w:rsid w:val="004B4186"/>
    <w:rsid w:val="004D6ECC"/>
    <w:rsid w:val="00506045"/>
    <w:rsid w:val="00506D7A"/>
    <w:rsid w:val="005778EB"/>
    <w:rsid w:val="0058278D"/>
    <w:rsid w:val="005C63A2"/>
    <w:rsid w:val="005E12AC"/>
    <w:rsid w:val="005F2838"/>
    <w:rsid w:val="00611DD7"/>
    <w:rsid w:val="00667B02"/>
    <w:rsid w:val="006A2D3D"/>
    <w:rsid w:val="006B3CB4"/>
    <w:rsid w:val="006B3D22"/>
    <w:rsid w:val="006C2662"/>
    <w:rsid w:val="006C4157"/>
    <w:rsid w:val="006F4476"/>
    <w:rsid w:val="00710A6F"/>
    <w:rsid w:val="00736D6B"/>
    <w:rsid w:val="007555B8"/>
    <w:rsid w:val="00772AD8"/>
    <w:rsid w:val="00795E69"/>
    <w:rsid w:val="008245BD"/>
    <w:rsid w:val="00824637"/>
    <w:rsid w:val="00841F3D"/>
    <w:rsid w:val="00842FD9"/>
    <w:rsid w:val="008523D5"/>
    <w:rsid w:val="008534D1"/>
    <w:rsid w:val="00884682"/>
    <w:rsid w:val="008A3F9E"/>
    <w:rsid w:val="008A75C3"/>
    <w:rsid w:val="008A7BC5"/>
    <w:rsid w:val="009048A3"/>
    <w:rsid w:val="0094040D"/>
    <w:rsid w:val="009A0E5C"/>
    <w:rsid w:val="009C3D71"/>
    <w:rsid w:val="00A019B7"/>
    <w:rsid w:val="00A30F51"/>
    <w:rsid w:val="00A44360"/>
    <w:rsid w:val="00A448FD"/>
    <w:rsid w:val="00A50F65"/>
    <w:rsid w:val="00A649A3"/>
    <w:rsid w:val="00A81165"/>
    <w:rsid w:val="00A92613"/>
    <w:rsid w:val="00A95F43"/>
    <w:rsid w:val="00AF36BF"/>
    <w:rsid w:val="00AF4058"/>
    <w:rsid w:val="00B045E0"/>
    <w:rsid w:val="00B2096D"/>
    <w:rsid w:val="00B27A25"/>
    <w:rsid w:val="00B448B7"/>
    <w:rsid w:val="00B80F20"/>
    <w:rsid w:val="00B87921"/>
    <w:rsid w:val="00BD67A7"/>
    <w:rsid w:val="00BE59F4"/>
    <w:rsid w:val="00C5490B"/>
    <w:rsid w:val="00C71EAA"/>
    <w:rsid w:val="00CB7627"/>
    <w:rsid w:val="00CC5CBD"/>
    <w:rsid w:val="00D91FA9"/>
    <w:rsid w:val="00DA16E5"/>
    <w:rsid w:val="00DB2ED2"/>
    <w:rsid w:val="00DB435F"/>
    <w:rsid w:val="00E84B53"/>
    <w:rsid w:val="00E93551"/>
    <w:rsid w:val="00EC4EF9"/>
    <w:rsid w:val="00ED0A6D"/>
    <w:rsid w:val="00EF146B"/>
    <w:rsid w:val="00FA4AB8"/>
    <w:rsid w:val="00FD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66343"/>
  <w15:docId w15:val="{FCD985D8-3EEB-4987-B789-C4730036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1FA9"/>
    <w:pPr>
      <w:widowControl w:val="0"/>
      <w:suppressAutoHyphens/>
    </w:pPr>
    <w:rPr>
      <w:kern w:val="2"/>
      <w:sz w:val="24"/>
      <w:szCs w:val="24"/>
      <w:lang w:eastAsia="ar-SA"/>
    </w:rPr>
  </w:style>
  <w:style w:type="paragraph" w:styleId="Cmsor1">
    <w:name w:val="heading 1"/>
    <w:basedOn w:val="Norml"/>
    <w:link w:val="Cmsor1Char"/>
    <w:uiPriority w:val="9"/>
    <w:qFormat/>
    <w:rsid w:val="00A30F51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rsid w:val="00D91FA9"/>
    <w:rPr>
      <w:rFonts w:ascii="Verdana" w:hAnsi="Verdana" w:cs="Verdana"/>
      <w:color w:val="0000FF"/>
      <w:u w:val="single"/>
      <w:lang w:val="en-US" w:eastAsia="ar-SA" w:bidi="ar-SA"/>
    </w:rPr>
  </w:style>
  <w:style w:type="paragraph" w:styleId="lfej">
    <w:name w:val="header"/>
    <w:basedOn w:val="Norml"/>
    <w:link w:val="lfejChar"/>
    <w:semiHidden/>
    <w:rsid w:val="00D91F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locked/>
    <w:rsid w:val="00D91FA9"/>
    <w:rPr>
      <w:kern w:val="2"/>
      <w:sz w:val="24"/>
      <w:szCs w:val="24"/>
      <w:lang w:val="hu-HU" w:eastAsia="ar-SA" w:bidi="ar-SA"/>
    </w:rPr>
  </w:style>
  <w:style w:type="paragraph" w:customStyle="1" w:styleId="Listaszerbekezds1">
    <w:name w:val="Listaszerű bekezdés1"/>
    <w:basedOn w:val="Norml"/>
    <w:rsid w:val="00D91FA9"/>
    <w:pPr>
      <w:ind w:left="720"/>
    </w:pPr>
  </w:style>
  <w:style w:type="character" w:customStyle="1" w:styleId="Cmsor1Char">
    <w:name w:val="Címsor 1 Char"/>
    <w:basedOn w:val="Bekezdsalapbettpusa"/>
    <w:link w:val="Cmsor1"/>
    <w:uiPriority w:val="9"/>
    <w:rsid w:val="00A30F51"/>
    <w:rPr>
      <w:b/>
      <w:bCs/>
      <w:kern w:val="36"/>
      <w:sz w:val="48"/>
      <w:szCs w:val="48"/>
    </w:rPr>
  </w:style>
  <w:style w:type="paragraph" w:styleId="Listaszerbekezds">
    <w:name w:val="List Paragraph"/>
    <w:basedOn w:val="Norml"/>
    <w:uiPriority w:val="34"/>
    <w:qFormat/>
    <w:rsid w:val="003936A4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341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100195.T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svaros.hu/" TargetMode="External"/><Relationship Id="rId12" Type="http://schemas.openxmlformats.org/officeDocument/2006/relationships/hyperlink" Target="https://net.jogtar.hu/jogszabaly?docid=A1100195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net.jogtar.hu/jogszabaly?docid=A1100195.TV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et.jogtar.hu/jogszabaly?docid=A1100195.T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t.jogtar.hu/jogszabaly?docid=A1100195.T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1146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Roma Nemzetiségi Önkormányzat</vt:lpstr>
    </vt:vector>
  </TitlesOfParts>
  <Company>Ács Polg.Hiv.</Company>
  <LinksUpToDate>false</LinksUpToDate>
  <CharactersWithSpaces>9037</CharactersWithSpaces>
  <SharedDoc>false</SharedDoc>
  <HLinks>
    <vt:vector size="6" baseType="variant">
      <vt:variant>
        <vt:i4>7077932</vt:i4>
      </vt:variant>
      <vt:variant>
        <vt:i4>0</vt:i4>
      </vt:variant>
      <vt:variant>
        <vt:i4>0</vt:i4>
      </vt:variant>
      <vt:variant>
        <vt:i4>5</vt:i4>
      </vt:variant>
      <vt:variant>
        <vt:lpwstr>http://www.acsvaros.hu/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Roma Nemzetiségi Önkormányzat</dc:title>
  <dc:creator>Titkarsag</dc:creator>
  <cp:lastModifiedBy>Barbi</cp:lastModifiedBy>
  <cp:revision>58</cp:revision>
  <cp:lastPrinted>2016-05-24T08:49:00Z</cp:lastPrinted>
  <dcterms:created xsi:type="dcterms:W3CDTF">2018-04-24T09:57:00Z</dcterms:created>
  <dcterms:modified xsi:type="dcterms:W3CDTF">2021-04-19T11:41:00Z</dcterms:modified>
</cp:coreProperties>
</file>